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2)*</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Corvus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221015100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[_] Rule 13d-1(b)</w:t>
      </w:r>
    </w:p>
    <w:p>
      <w:pPr>
        <w:spacing w:after="0" w:line="229" w:lineRule="exact"/>
        <w:rPr>
          <w:sz w:val="24"/>
          <w:szCs w:val="24"/>
          <w:color w:val="auto"/>
        </w:rPr>
      </w:pPr>
    </w:p>
    <w:p>
      <w:pPr>
        <w:jc w:val="both"/>
        <w:ind w:left="1300" w:right="8500" w:firstLine="4"/>
        <w:spacing w:after="0" w:line="495" w:lineRule="auto"/>
        <w:tabs>
          <w:tab w:leader="none" w:pos="1624"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13d-1(c) [_] Rule 13d-1(d)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spacing w:after="0" w:line="27" w:lineRule="exact"/>
        <w:rPr>
          <w:sz w:val="24"/>
          <w:szCs w:val="24"/>
          <w:color w:val="auto"/>
        </w:rPr>
      </w:pPr>
    </w:p>
    <w:p>
      <w:pPr>
        <w:ind w:firstLine="8"/>
        <w:spacing w:after="0" w:line="246" w:lineRule="auto"/>
        <w:tabs>
          <w:tab w:leader="none" w:pos="16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4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20"/>
                <w:szCs w:val="20"/>
                <w:color w:val="auto"/>
              </w:rPr>
              <w:t>221015100</w:t>
            </w:r>
          </w:p>
        </w:tc>
      </w:tr>
    </w:tbl>
    <w:p>
      <w:pPr>
        <w:spacing w:after="0" w:line="193" w:lineRule="exact"/>
        <w:rPr>
          <w:sz w:val="20"/>
          <w:szCs w:val="20"/>
          <w:color w:val="auto"/>
        </w:rPr>
      </w:pPr>
    </w:p>
    <w:p>
      <w:pPr>
        <w:ind w:left="1000" w:hanging="895"/>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1000" w:right="408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Samlyn Capital, LLC</w:t>
      </w:r>
    </w:p>
    <w:p>
      <w:pPr>
        <w:ind w:left="1000" w:hanging="895"/>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1000" w:hanging="895"/>
        <w:spacing w:after="0"/>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1000" w:right="6200" w:hanging="895"/>
        <w:spacing w:after="0" w:line="507" w:lineRule="auto"/>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ind w:left="100"/>
        <w:spacing w:after="0"/>
        <w:rPr>
          <w:sz w:val="20"/>
          <w:szCs w:val="20"/>
          <w:color w:val="auto"/>
        </w:rPr>
      </w:pPr>
      <w:r>
        <w:rPr>
          <w:rFonts w:ascii="Times New Roman" w:cs="Times New Roman" w:eastAsia="Times New Roman" w:hAnsi="Times New Roman"/>
          <w:sz w:val="20"/>
          <w:szCs w:val="20"/>
          <w:color w:val="auto"/>
        </w:rPr>
        <w:t>NUMBER OF SHARES BENEFICIALLY OWNED BY EACH REPORTING PERSON WITH</w:t>
      </w:r>
    </w:p>
    <w:p>
      <w:pPr>
        <w:spacing w:after="0" w:line="243" w:lineRule="exact"/>
        <w:rPr>
          <w:sz w:val="20"/>
          <w:szCs w:val="20"/>
          <w:color w:val="auto"/>
        </w:rPr>
      </w:pPr>
    </w:p>
    <w:p>
      <w:pPr>
        <w:ind w:left="1000" w:right="8180" w:hanging="895"/>
        <w:spacing w:after="0" w:line="507"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1000" w:hanging="895"/>
        <w:spacing w:after="0"/>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7740" w:hanging="895"/>
        <w:spacing w:after="0" w:line="507"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1000" w:hanging="895"/>
        <w:spacing w:after="0"/>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hanging="895"/>
        <w:spacing w:after="0"/>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42"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2000" w:hanging="895"/>
        <w:spacing w:after="0" w:line="250" w:lineRule="auto"/>
        <w:tabs>
          <w:tab w:leader="none" w:pos="10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1000" w:hanging="895"/>
        <w:spacing w:after="0"/>
        <w:tabs>
          <w:tab w:leader="none" w:pos="10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56" w:lineRule="exact"/>
        <w:rPr>
          <w:rFonts w:ascii="Times New Roman" w:cs="Times New Roman" w:eastAsia="Times New Roman" w:hAnsi="Times New Roman"/>
          <w:sz w:val="20"/>
          <w:szCs w:val="20"/>
          <w:color w:val="auto"/>
        </w:rPr>
      </w:pPr>
    </w:p>
    <w:p>
      <w:pPr>
        <w:ind w:left="1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9.99%*</w:t>
      </w:r>
    </w:p>
    <w:p>
      <w:pPr>
        <w:spacing w:after="0" w:line="256" w:lineRule="exact"/>
        <w:rPr>
          <w:rFonts w:ascii="Times New Roman" w:cs="Times New Roman" w:eastAsia="Times New Roman" w:hAnsi="Times New Roman"/>
          <w:sz w:val="20"/>
          <w:szCs w:val="20"/>
          <w:color w:val="auto"/>
        </w:rPr>
      </w:pPr>
    </w:p>
    <w:p>
      <w:pPr>
        <w:ind w:left="1000" w:right="5460" w:hanging="895"/>
        <w:spacing w:after="0" w:line="536" w:lineRule="auto"/>
        <w:tabs>
          <w:tab w:leader="none" w:pos="10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IA, OO</w:t>
      </w:r>
    </w:p>
    <w:p>
      <w:pPr>
        <w:spacing w:after="0" w:line="147" w:lineRule="exact"/>
        <w:rPr>
          <w:rFonts w:ascii="Times New Roman" w:cs="Times New Roman" w:eastAsia="Times New Roman" w:hAnsi="Times New Roman"/>
          <w:sz w:val="20"/>
          <w:szCs w:val="20"/>
          <w:color w:val="auto"/>
        </w:rPr>
      </w:pP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Samlyn Capital, LLC (“Samlyn Capital”) is deemed to beneficially own: (i) 6,133,758 shares of the issuer’s Common Stock; and (ii) 130,000 warrants of the issuer that each convert into shares of the issuer’s Common Stock on a 1-to-1 basis (the “Warrants”). The foregoing shares of Common Stock and Warrants are directly owned by certain of Samlyn Capital’s investment advisory clients (such clients, the “Samlyn Clients”). The amount reported excludes 3,503,978 warrants that are subject to a blocker provision that prevents each Samlyn Client from exercising such warrants if it or any of its affiliates, including Samlyn Capital, would be more than a 9.99% beneficial owner of the issuer’s outstanding Common Stock following such exercise (the “Blocker Provision”). Accordingly, the number of shares of Common Stock and the percentage of the issuer’s outstanding Common Stock deemed beneficially owned by Samlyn Capital have been adjusted to account for: (i) the maximum amount of warrants that the Samlyn Clients can collectively exercise, giving effect to the Blocker Provision; and (ii) the additional shares of Common Stock that would be issued by the issuer to the Samlyn Clients in connection with full exercise of the Warrants by the Samlyn Clients, giving effect to the Blocker Provision.</w:t>
      </w:r>
    </w:p>
    <w:p>
      <w:pPr>
        <w:sectPr>
          <w:pgSz w:w="11900" w:h="16852" w:orient="portrait"/>
          <w:cols w:equalWidth="0" w:num="1">
            <w:col w:w="11240"/>
          </w:cols>
          <w:pgMar w:left="320" w:top="927" w:right="339" w:bottom="0" w:gutter="0" w:footer="0" w:header="0"/>
        </w:sectPr>
      </w:pPr>
    </w:p>
    <w:bookmarkStart w:id="2" w:name="page3"/>
    <w:bookmarkEnd w:id="2"/>
    <w:p>
      <w:pPr>
        <w:jc w:val="both"/>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4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20"/>
                <w:szCs w:val="20"/>
                <w:color w:val="auto"/>
              </w:rPr>
              <w:t>221015100</w:t>
            </w:r>
          </w:p>
        </w:tc>
      </w:tr>
    </w:tbl>
    <w:p>
      <w:pPr>
        <w:spacing w:after="0" w:line="220" w:lineRule="exact"/>
        <w:rPr>
          <w:sz w:val="20"/>
          <w:szCs w:val="20"/>
          <w:color w:val="auto"/>
        </w:rPr>
      </w:pPr>
    </w:p>
    <w:p>
      <w:pPr>
        <w:ind w:left="1000" w:hanging="895"/>
        <w:spacing w:after="0"/>
        <w:tabs>
          <w:tab w:leader="none" w:pos="10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1000" w:right="408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Samlyn, LP</w:t>
      </w:r>
    </w:p>
    <w:p>
      <w:pPr>
        <w:ind w:left="1000" w:hanging="895"/>
        <w:spacing w:after="0"/>
        <w:tabs>
          <w:tab w:leader="none" w:pos="10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1000" w:hanging="895"/>
        <w:spacing w:after="0"/>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1000" w:right="6200" w:hanging="895"/>
        <w:spacing w:after="0" w:line="507" w:lineRule="auto"/>
        <w:tabs>
          <w:tab w:leader="none" w:pos="10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ind w:left="100"/>
        <w:spacing w:after="0"/>
        <w:rPr>
          <w:sz w:val="20"/>
          <w:szCs w:val="20"/>
          <w:color w:val="auto"/>
        </w:rPr>
      </w:pPr>
      <w:r>
        <w:rPr>
          <w:rFonts w:ascii="Times New Roman" w:cs="Times New Roman" w:eastAsia="Times New Roman" w:hAnsi="Times New Roman"/>
          <w:sz w:val="20"/>
          <w:szCs w:val="20"/>
          <w:color w:val="auto"/>
        </w:rPr>
        <w:t>NUMBER OF SHARES BENEFICIALLY OWNED BY EACH REPORTING PERSON WITH</w:t>
      </w:r>
    </w:p>
    <w:p>
      <w:pPr>
        <w:spacing w:after="0" w:line="243" w:lineRule="exact"/>
        <w:rPr>
          <w:sz w:val="20"/>
          <w:szCs w:val="20"/>
          <w:color w:val="auto"/>
        </w:rPr>
      </w:pPr>
    </w:p>
    <w:p>
      <w:pPr>
        <w:ind w:left="1000" w:right="8180" w:hanging="895"/>
        <w:spacing w:after="0" w:line="507" w:lineRule="auto"/>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1000" w:hanging="895"/>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7740" w:hanging="895"/>
        <w:spacing w:after="0" w:line="507" w:lineRule="auto"/>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1000" w:hanging="895"/>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hanging="895"/>
        <w:spacing w:after="0"/>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42"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2000" w:hanging="895"/>
        <w:spacing w:after="0" w:line="250" w:lineRule="auto"/>
        <w:tabs>
          <w:tab w:leader="none" w:pos="10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1000" w:hanging="895"/>
        <w:spacing w:after="0"/>
        <w:tabs>
          <w:tab w:leader="none" w:pos="10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56" w:lineRule="exact"/>
        <w:rPr>
          <w:rFonts w:ascii="Times New Roman" w:cs="Times New Roman" w:eastAsia="Times New Roman" w:hAnsi="Times New Roman"/>
          <w:sz w:val="20"/>
          <w:szCs w:val="20"/>
          <w:color w:val="auto"/>
        </w:rPr>
      </w:pPr>
    </w:p>
    <w:p>
      <w:pPr>
        <w:ind w:left="1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9.99%*</w:t>
      </w:r>
    </w:p>
    <w:p>
      <w:pPr>
        <w:spacing w:after="0" w:line="256" w:lineRule="exact"/>
        <w:rPr>
          <w:rFonts w:ascii="Times New Roman" w:cs="Times New Roman" w:eastAsia="Times New Roman" w:hAnsi="Times New Roman"/>
          <w:sz w:val="20"/>
          <w:szCs w:val="20"/>
          <w:color w:val="auto"/>
        </w:rPr>
      </w:pPr>
    </w:p>
    <w:p>
      <w:pPr>
        <w:ind w:left="1000" w:right="5460" w:hanging="895"/>
        <w:spacing w:after="0" w:line="536" w:lineRule="auto"/>
        <w:tabs>
          <w:tab w:leader="none" w:pos="10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PN</w:t>
      </w:r>
    </w:p>
    <w:p>
      <w:pPr>
        <w:spacing w:after="0" w:line="147" w:lineRule="exact"/>
        <w:rPr>
          <w:rFonts w:ascii="Times New Roman" w:cs="Times New Roman" w:eastAsia="Times New Roman" w:hAnsi="Times New Roman"/>
          <w:sz w:val="20"/>
          <w:szCs w:val="20"/>
          <w:color w:val="auto"/>
        </w:rPr>
      </w:pP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Samlyn Capital, LLC (“Samlyn Capital”) is deemed to beneficially own: (i) 6,133,758 shares of the issuer’s Common Stock; and (ii) 130,000 warrants of the issuer that each convert into shares of the issuer’s Common Stock on a 1-to-1 basis (the “Warrants”). The foregoing shares of Common Stock and Warrants are directly owned by certain of Samlyn Capital’s investment advisory clients (such clients, the “Samlyn Clients”). The amount reported excludes 3,503,978 warrants that are subject to a blocker provision that prevents each Samlyn Client from exercising such warrants if it or any of its affiliates, including Samlyn Capital, would be more than a 9.99% beneficial owner of the issuer’s outstanding Common Stock following such exercise (the “Blocker Provision”). Accordingly, the number of shares of Common Stock and the percentage of the issuer’s outstanding Common Stock deemed beneficially owned by Samlyn Capital have been adjusted to account for: (i) the maximum amount of warrants that the Samlyn Clients can collectively exercise, giving effect to the Blocker Provision; and (ii) the additional shares of Common Stock that would be issued by the issuer to the Samlyn Clients in connection with full exercise of the Warrants by the Samlyn Clients, giving effect to the Blocker Provision.</w:t>
      </w:r>
    </w:p>
    <w:p>
      <w:pPr>
        <w:sectPr>
          <w:pgSz w:w="11900" w:h="16879" w:orient="portrait"/>
          <w:cols w:equalWidth="0" w:num="1">
            <w:col w:w="11240"/>
          </w:cols>
          <w:pgMar w:left="320" w:top="927" w:right="339" w:bottom="0" w:gutter="0" w:footer="0" w:header="0"/>
        </w:sectPr>
      </w:pPr>
    </w:p>
    <w:bookmarkStart w:id="4" w:name="page5"/>
    <w:bookmarkEnd w:id="4"/>
    <w:p>
      <w:pPr>
        <w:jc w:val="both"/>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62"/>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460" w:type="dxa"/>
            <w:vAlign w:val="bottom"/>
            <w:tcBorders>
              <w:bottom w:val="single" w:sz="8" w:color="auto"/>
            </w:tcBorders>
          </w:tcPr>
          <w:p>
            <w:pPr>
              <w:jc w:val="right"/>
              <w:ind w:right="1381"/>
              <w:spacing w:after="0"/>
              <w:rPr>
                <w:sz w:val="20"/>
                <w:szCs w:val="20"/>
                <w:color w:val="auto"/>
              </w:rPr>
            </w:pPr>
            <w:r>
              <w:rPr>
                <w:rFonts w:ascii="Times New Roman" w:cs="Times New Roman" w:eastAsia="Times New Roman" w:hAnsi="Times New Roman"/>
                <w:sz w:val="20"/>
                <w:szCs w:val="20"/>
                <w:color w:val="auto"/>
              </w:rPr>
              <w:t>221015100</w:t>
            </w:r>
          </w:p>
        </w:tc>
      </w:tr>
    </w:tbl>
    <w:p>
      <w:pPr>
        <w:spacing w:after="0" w:line="220" w:lineRule="exact"/>
        <w:rPr>
          <w:sz w:val="20"/>
          <w:szCs w:val="20"/>
          <w:color w:val="auto"/>
        </w:rPr>
      </w:pPr>
    </w:p>
    <w:p>
      <w:pPr>
        <w:ind w:left="1000" w:hanging="895"/>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w:t>
      </w:r>
    </w:p>
    <w:p>
      <w:pPr>
        <w:spacing w:after="0" w:line="28" w:lineRule="exact"/>
        <w:rPr>
          <w:rFonts w:ascii="Times New Roman" w:cs="Times New Roman" w:eastAsia="Times New Roman" w:hAnsi="Times New Roman"/>
          <w:sz w:val="20"/>
          <w:szCs w:val="20"/>
          <w:color w:val="auto"/>
        </w:rPr>
      </w:pPr>
    </w:p>
    <w:p>
      <w:pPr>
        <w:ind w:left="1000" w:right="4080"/>
        <w:spacing w:after="0" w:line="49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 Robert Pohly</w:t>
      </w:r>
    </w:p>
    <w:p>
      <w:pPr>
        <w:ind w:left="1000" w:hanging="895"/>
        <w:spacing w:after="0"/>
        <w:tabs>
          <w:tab w:leader="none" w:pos="10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1000" w:hanging="895"/>
        <w:spacing w:after="0"/>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1000" w:right="6200" w:hanging="895"/>
        <w:spacing w:after="0" w:line="507" w:lineRule="auto"/>
        <w:tabs>
          <w:tab w:leader="none" w:pos="10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United States of America</w:t>
      </w:r>
    </w:p>
    <w:p>
      <w:pPr>
        <w:ind w:left="100"/>
        <w:spacing w:after="0"/>
        <w:rPr>
          <w:sz w:val="20"/>
          <w:szCs w:val="20"/>
          <w:color w:val="auto"/>
        </w:rPr>
      </w:pPr>
      <w:r>
        <w:rPr>
          <w:rFonts w:ascii="Times New Roman" w:cs="Times New Roman" w:eastAsia="Times New Roman" w:hAnsi="Times New Roman"/>
          <w:sz w:val="20"/>
          <w:szCs w:val="20"/>
          <w:color w:val="auto"/>
        </w:rPr>
        <w:t>NUMBER OF SHARES BENEFICIALLY OWNED BY EACH REPORTING PERSON WITH</w:t>
      </w:r>
    </w:p>
    <w:p>
      <w:pPr>
        <w:spacing w:after="0" w:line="243" w:lineRule="exact"/>
        <w:rPr>
          <w:sz w:val="20"/>
          <w:szCs w:val="20"/>
          <w:color w:val="auto"/>
        </w:rPr>
      </w:pPr>
    </w:p>
    <w:p>
      <w:pPr>
        <w:ind w:left="1000" w:right="8180" w:hanging="895"/>
        <w:spacing w:after="0" w:line="507" w:lineRule="auto"/>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1000" w:hanging="895"/>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7740" w:hanging="895"/>
        <w:spacing w:after="0" w:line="507" w:lineRule="auto"/>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1000" w:hanging="895"/>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w:t>
      </w:r>
    </w:p>
    <w:p>
      <w:pPr>
        <w:spacing w:after="0" w:line="256"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hanging="895"/>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w:t>
      </w:r>
    </w:p>
    <w:p>
      <w:pPr>
        <w:spacing w:after="0" w:line="242" w:lineRule="exact"/>
        <w:rPr>
          <w:rFonts w:ascii="Times New Roman" w:cs="Times New Roman" w:eastAsia="Times New Roman" w:hAnsi="Times New Roman"/>
          <w:sz w:val="20"/>
          <w:szCs w:val="20"/>
          <w:color w:val="auto"/>
        </w:rPr>
      </w:pPr>
    </w:p>
    <w:p>
      <w:pPr>
        <w:ind w:left="1000" w:right="17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6,263,758 shares of Common Stock (including 130,000 shares of Common Stock issuable upon exercise of Warrants)*</w:t>
      </w:r>
    </w:p>
    <w:p>
      <w:pPr>
        <w:spacing w:after="0" w:line="186" w:lineRule="exact"/>
        <w:rPr>
          <w:rFonts w:ascii="Times New Roman" w:cs="Times New Roman" w:eastAsia="Times New Roman" w:hAnsi="Times New Roman"/>
          <w:sz w:val="20"/>
          <w:szCs w:val="20"/>
          <w:color w:val="auto"/>
        </w:rPr>
      </w:pPr>
    </w:p>
    <w:p>
      <w:pPr>
        <w:ind w:left="1000" w:right="2000" w:hanging="895"/>
        <w:spacing w:after="0" w:line="250" w:lineRule="auto"/>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1000" w:hanging="895"/>
        <w:spacing w:after="0"/>
        <w:tabs>
          <w:tab w:leader="none" w:pos="10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w:t>
      </w:r>
    </w:p>
    <w:p>
      <w:pPr>
        <w:spacing w:after="0" w:line="256" w:lineRule="exact"/>
        <w:rPr>
          <w:rFonts w:ascii="Times New Roman" w:cs="Times New Roman" w:eastAsia="Times New Roman" w:hAnsi="Times New Roman"/>
          <w:sz w:val="20"/>
          <w:szCs w:val="20"/>
          <w:color w:val="auto"/>
        </w:rPr>
      </w:pPr>
    </w:p>
    <w:p>
      <w:pPr>
        <w:ind w:left="10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9.99%*</w:t>
      </w:r>
    </w:p>
    <w:p>
      <w:pPr>
        <w:spacing w:after="0" w:line="200" w:lineRule="exact"/>
        <w:rPr>
          <w:rFonts w:ascii="Times New Roman" w:cs="Times New Roman" w:eastAsia="Times New Roman" w:hAnsi="Times New Roman"/>
          <w:sz w:val="20"/>
          <w:szCs w:val="20"/>
          <w:color w:val="auto"/>
        </w:rPr>
      </w:pPr>
    </w:p>
    <w:p>
      <w:pPr>
        <w:spacing w:after="0" w:line="272" w:lineRule="exact"/>
        <w:rPr>
          <w:rFonts w:ascii="Times New Roman" w:cs="Times New Roman" w:eastAsia="Times New Roman" w:hAnsi="Times New Roman"/>
          <w:sz w:val="20"/>
          <w:szCs w:val="20"/>
          <w:color w:val="auto"/>
        </w:rPr>
      </w:pPr>
    </w:p>
    <w:p>
      <w:pPr>
        <w:ind w:left="1000" w:right="5460" w:hanging="895"/>
        <w:spacing w:after="0" w:line="500" w:lineRule="auto"/>
        <w:tabs>
          <w:tab w:leader="none" w:pos="100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IN, HC</w:t>
      </w:r>
    </w:p>
    <w:p>
      <w:pPr>
        <w:jc w:val="both"/>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Samlyn Capital, LLC (“Samlyn Capital”) is deemed to beneficially own: (i) 6,133,758 shares of the issuer’s Common Stock; and (ii) 130,000 warrants of the issuer that each convert into shares of the issuer’s Common Stock on a 1-to-1 basis (the “Warrants”). The foregoing shares of Common Stock and Warrants are directly owned by certain of Samlyn Capital’s investment advisory clients (such clients, the “Samlyn Clients”). The amount reported excludes 3,503,978 warrants that are subject to a blocker provision that prevents each Samlyn Client from exercising such warrants if it or any of its affiliates, including Samlyn Capital, would be more than a 9.99% beneficial owner of the issuer’s outstanding Common Stock following such exercise (the “Blocker Provision”). Accordingly, the number of shares of Common Stock and the percentage of the issuer’s outstanding Common Stock deemed beneficially owned by Samlyn Capital have been adjusted to account for: (i) the maximum amount of warrants that the Samlyn Clients can collectively exercise, giving effect to the Blocker Provision; and (ii) the additional shares of Common Stock that would be issued by the issuer to the Samlyn Clients in connection with full exercise of the Warrants by the Samlyn Clients, giving effect to the Blocker Provision.</w:t>
      </w:r>
    </w:p>
    <w:p>
      <w:pPr>
        <w:sectPr>
          <w:pgSz w:w="11900" w:h="16838" w:orient="portrait"/>
          <w:cols w:equalWidth="0" w:num="1">
            <w:col w:w="11240"/>
          </w:cols>
          <w:pgMar w:left="320" w:top="670" w:right="339" w:bottom="0" w:gutter="0" w:footer="0" w:header="0"/>
        </w:sectPr>
      </w:pPr>
    </w:p>
    <w:bookmarkStart w:id="6" w:name="page7"/>
    <w:bookmarkEnd w:id="6"/>
    <w:p>
      <w:pPr>
        <w:jc w:val="both"/>
        <w:spacing w:after="0" w:line="24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1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CUSIP No</w:t>
            </w:r>
          </w:p>
        </w:tc>
        <w:tc>
          <w:tcPr>
            <w:tcW w:w="2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221015100</w:t>
            </w:r>
          </w:p>
        </w:tc>
        <w:tc>
          <w:tcPr>
            <w:tcW w:w="57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76"/>
        </w:trPr>
        <w:tc>
          <w:tcPr>
            <w:tcW w:w="1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w:t>
            </w: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Issuer:</w:t>
            </w:r>
          </w:p>
        </w:tc>
        <w:tc>
          <w:tcPr>
            <w:tcW w:w="1120" w:type="dxa"/>
            <w:vAlign w:val="bottom"/>
          </w:tcPr>
          <w:p>
            <w:pPr>
              <w:spacing w:after="0"/>
              <w:rPr>
                <w:sz w:val="24"/>
                <w:szCs w:val="24"/>
                <w:color w:val="auto"/>
              </w:rPr>
            </w:pPr>
          </w:p>
        </w:tc>
      </w:tr>
      <w:tr>
        <w:trPr>
          <w:trHeight w:val="490"/>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Corvus Pharmaceuticals, Inc.</w:t>
            </w:r>
          </w:p>
        </w:tc>
        <w:tc>
          <w:tcPr>
            <w:tcW w:w="1120" w:type="dxa"/>
            <w:vAlign w:val="bottom"/>
          </w:tcPr>
          <w:p>
            <w:pPr>
              <w:spacing w:after="0"/>
              <w:rPr>
                <w:sz w:val="24"/>
                <w:szCs w:val="24"/>
                <w:color w:val="auto"/>
              </w:rPr>
            </w:pPr>
          </w:p>
        </w:tc>
      </w:tr>
      <w:tr>
        <w:trPr>
          <w:trHeight w:val="692"/>
        </w:trPr>
        <w:tc>
          <w:tcPr>
            <w:tcW w:w="19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Issuer's Principal Executive Offices:</w:t>
            </w:r>
          </w:p>
        </w:tc>
        <w:tc>
          <w:tcPr>
            <w:tcW w:w="1120" w:type="dxa"/>
            <w:vAlign w:val="bottom"/>
          </w:tcPr>
          <w:p>
            <w:pPr>
              <w:spacing w:after="0"/>
              <w:rPr>
                <w:sz w:val="24"/>
                <w:szCs w:val="24"/>
                <w:color w:val="auto"/>
              </w:rPr>
            </w:pPr>
          </w:p>
        </w:tc>
      </w:tr>
      <w:tr>
        <w:trPr>
          <w:trHeight w:val="457"/>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863 Mitten Road, Suite 102</w:t>
            </w:r>
          </w:p>
        </w:tc>
        <w:tc>
          <w:tcPr>
            <w:tcW w:w="1120" w:type="dxa"/>
            <w:vAlign w:val="bottom"/>
          </w:tcPr>
          <w:p>
            <w:pPr>
              <w:spacing w:after="0"/>
              <w:rPr>
                <w:sz w:val="24"/>
                <w:szCs w:val="24"/>
                <w:color w:val="auto"/>
              </w:rPr>
            </w:pPr>
          </w:p>
        </w:tc>
      </w:tr>
      <w:tr>
        <w:trPr>
          <w:trHeight w:val="229"/>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Burlingame, California 94010</w:t>
            </w:r>
          </w:p>
        </w:tc>
        <w:tc>
          <w:tcPr>
            <w:tcW w:w="1120" w:type="dxa"/>
            <w:vAlign w:val="bottom"/>
          </w:tcPr>
          <w:p>
            <w:pPr>
              <w:spacing w:after="0"/>
              <w:rPr>
                <w:sz w:val="19"/>
                <w:szCs w:val="19"/>
                <w:color w:val="auto"/>
              </w:rPr>
            </w:pPr>
          </w:p>
        </w:tc>
      </w:tr>
      <w:tr>
        <w:trPr>
          <w:trHeight w:val="252"/>
        </w:trPr>
        <w:tc>
          <w:tcPr>
            <w:tcW w:w="1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1"/>
                <w:szCs w:val="21"/>
                <w:color w:val="auto"/>
              </w:rPr>
            </w:pPr>
          </w:p>
        </w:tc>
      </w:tr>
      <w:tr>
        <w:trPr>
          <w:trHeight w:val="472"/>
        </w:trPr>
        <w:tc>
          <w:tcPr>
            <w:tcW w:w="19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2.</w:t>
            </w: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Person Filing:</w:t>
            </w:r>
          </w:p>
        </w:tc>
        <w:tc>
          <w:tcPr>
            <w:tcW w:w="1120" w:type="dxa"/>
            <w:vAlign w:val="bottom"/>
          </w:tcPr>
          <w:p>
            <w:pPr>
              <w:spacing w:after="0"/>
              <w:rPr>
                <w:sz w:val="24"/>
                <w:szCs w:val="24"/>
                <w:color w:val="auto"/>
              </w:rPr>
            </w:pPr>
          </w:p>
        </w:tc>
      </w:tr>
      <w:tr>
        <w:trPr>
          <w:trHeight w:val="457"/>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Capital, LLC</w:t>
            </w:r>
          </w:p>
        </w:tc>
        <w:tc>
          <w:tcPr>
            <w:tcW w:w="1120" w:type="dxa"/>
            <w:vAlign w:val="bottom"/>
          </w:tcPr>
          <w:p>
            <w:pPr>
              <w:spacing w:after="0"/>
              <w:rPr>
                <w:sz w:val="24"/>
                <w:szCs w:val="24"/>
                <w:color w:val="auto"/>
              </w:rPr>
            </w:pPr>
          </w:p>
        </w:tc>
      </w:tr>
      <w:tr>
        <w:trPr>
          <w:trHeight w:val="229"/>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LP</w:t>
            </w:r>
          </w:p>
        </w:tc>
        <w:tc>
          <w:tcPr>
            <w:tcW w:w="1120" w:type="dxa"/>
            <w:vAlign w:val="bottom"/>
          </w:tcPr>
          <w:p>
            <w:pPr>
              <w:spacing w:after="0"/>
              <w:rPr>
                <w:sz w:val="19"/>
                <w:szCs w:val="19"/>
                <w:color w:val="auto"/>
              </w:rPr>
            </w:pPr>
          </w:p>
        </w:tc>
      </w:tr>
      <w:tr>
        <w:trPr>
          <w:trHeight w:val="252"/>
        </w:trPr>
        <w:tc>
          <w:tcPr>
            <w:tcW w:w="1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Robert Pohly</w:t>
            </w:r>
          </w:p>
        </w:tc>
        <w:tc>
          <w:tcPr>
            <w:tcW w:w="1120" w:type="dxa"/>
            <w:vAlign w:val="bottom"/>
          </w:tcPr>
          <w:p>
            <w:pPr>
              <w:spacing w:after="0"/>
              <w:rPr>
                <w:sz w:val="21"/>
                <w:szCs w:val="21"/>
                <w:color w:val="auto"/>
              </w:rPr>
            </w:pPr>
          </w:p>
        </w:tc>
      </w:tr>
      <w:tr>
        <w:trPr>
          <w:trHeight w:val="688"/>
        </w:trPr>
        <w:tc>
          <w:tcPr>
            <w:tcW w:w="19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Address of Principal Business Office, or if None, Residence:</w:t>
            </w:r>
          </w:p>
        </w:tc>
        <w:tc>
          <w:tcPr>
            <w:tcW w:w="1120" w:type="dxa"/>
            <w:vAlign w:val="bottom"/>
          </w:tcPr>
          <w:p>
            <w:pPr>
              <w:spacing w:after="0"/>
              <w:rPr>
                <w:sz w:val="24"/>
                <w:szCs w:val="24"/>
                <w:color w:val="auto"/>
              </w:rPr>
            </w:pPr>
          </w:p>
        </w:tc>
      </w:tr>
      <w:tr>
        <w:trPr>
          <w:trHeight w:val="457"/>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Capital, LLC</w:t>
            </w:r>
          </w:p>
        </w:tc>
        <w:tc>
          <w:tcPr>
            <w:tcW w:w="1120" w:type="dxa"/>
            <w:vAlign w:val="bottom"/>
          </w:tcPr>
          <w:p>
            <w:pPr>
              <w:spacing w:after="0"/>
              <w:rPr>
                <w:sz w:val="24"/>
                <w:szCs w:val="24"/>
                <w:color w:val="auto"/>
              </w:rPr>
            </w:pPr>
          </w:p>
        </w:tc>
      </w:tr>
      <w:tr>
        <w:trPr>
          <w:trHeight w:val="229"/>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29"/>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8"/>
        </w:trPr>
        <w:tc>
          <w:tcPr>
            <w:tcW w:w="1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2"/>
                <w:szCs w:val="22"/>
                <w:color w:val="auto"/>
              </w:rPr>
            </w:pPr>
          </w:p>
        </w:tc>
      </w:tr>
      <w:tr>
        <w:trPr>
          <w:trHeight w:val="430"/>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LP</w:t>
            </w:r>
          </w:p>
        </w:tc>
        <w:tc>
          <w:tcPr>
            <w:tcW w:w="1120" w:type="dxa"/>
            <w:vAlign w:val="bottom"/>
          </w:tcPr>
          <w:p>
            <w:pPr>
              <w:spacing w:after="0"/>
              <w:rPr>
                <w:sz w:val="24"/>
                <w:szCs w:val="24"/>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 Samlyn Capital, LLC</w:t>
            </w:r>
          </w:p>
        </w:tc>
        <w:tc>
          <w:tcPr>
            <w:tcW w:w="112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8"/>
        </w:trPr>
        <w:tc>
          <w:tcPr>
            <w:tcW w:w="1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2"/>
                <w:szCs w:val="22"/>
                <w:color w:val="auto"/>
              </w:rPr>
            </w:pPr>
          </w:p>
        </w:tc>
      </w:tr>
      <w:tr>
        <w:trPr>
          <w:trHeight w:val="430"/>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Robert Pohly</w:t>
            </w:r>
          </w:p>
        </w:tc>
        <w:tc>
          <w:tcPr>
            <w:tcW w:w="1120" w:type="dxa"/>
            <w:vAlign w:val="bottom"/>
          </w:tcPr>
          <w:p>
            <w:pPr>
              <w:spacing w:after="0"/>
              <w:rPr>
                <w:sz w:val="24"/>
                <w:szCs w:val="24"/>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 Samlyn Capital, LLC</w:t>
            </w:r>
          </w:p>
        </w:tc>
        <w:tc>
          <w:tcPr>
            <w:tcW w:w="1120" w:type="dxa"/>
            <w:vAlign w:val="bottom"/>
          </w:tcPr>
          <w:p>
            <w:pPr>
              <w:spacing w:after="0"/>
              <w:rPr>
                <w:sz w:val="19"/>
                <w:szCs w:val="19"/>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500 Park Avenue, 2nd Floor</w:t>
            </w:r>
          </w:p>
        </w:tc>
        <w:tc>
          <w:tcPr>
            <w:tcW w:w="1120" w:type="dxa"/>
            <w:vAlign w:val="bottom"/>
          </w:tcPr>
          <w:p>
            <w:pPr>
              <w:spacing w:after="0"/>
              <w:rPr>
                <w:sz w:val="19"/>
                <w:szCs w:val="19"/>
                <w:color w:val="auto"/>
              </w:rPr>
            </w:pPr>
          </w:p>
        </w:tc>
      </w:tr>
      <w:tr>
        <w:trPr>
          <w:trHeight w:val="229"/>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New York, New York 10022</w:t>
            </w:r>
          </w:p>
        </w:tc>
        <w:tc>
          <w:tcPr>
            <w:tcW w:w="1120" w:type="dxa"/>
            <w:vAlign w:val="bottom"/>
          </w:tcPr>
          <w:p>
            <w:pPr>
              <w:spacing w:after="0"/>
              <w:rPr>
                <w:sz w:val="19"/>
                <w:szCs w:val="19"/>
                <w:color w:val="auto"/>
              </w:rPr>
            </w:pPr>
          </w:p>
        </w:tc>
      </w:tr>
      <w:tr>
        <w:trPr>
          <w:trHeight w:val="252"/>
        </w:trPr>
        <w:tc>
          <w:tcPr>
            <w:tcW w:w="1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1120" w:type="dxa"/>
            <w:vAlign w:val="bottom"/>
          </w:tcPr>
          <w:p>
            <w:pPr>
              <w:spacing w:after="0"/>
              <w:rPr>
                <w:sz w:val="21"/>
                <w:szCs w:val="21"/>
                <w:color w:val="auto"/>
              </w:rPr>
            </w:pPr>
          </w:p>
        </w:tc>
      </w:tr>
      <w:tr>
        <w:trPr>
          <w:trHeight w:val="715"/>
        </w:trPr>
        <w:tc>
          <w:tcPr>
            <w:tcW w:w="19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Citizenship:</w:t>
            </w:r>
          </w:p>
        </w:tc>
        <w:tc>
          <w:tcPr>
            <w:tcW w:w="1120" w:type="dxa"/>
            <w:vAlign w:val="bottom"/>
          </w:tcPr>
          <w:p>
            <w:pPr>
              <w:spacing w:after="0"/>
              <w:rPr>
                <w:sz w:val="24"/>
                <w:szCs w:val="24"/>
                <w:color w:val="auto"/>
              </w:rPr>
            </w:pPr>
          </w:p>
        </w:tc>
      </w:tr>
      <w:tr>
        <w:trPr>
          <w:trHeight w:val="457"/>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Capital, LLC – Delaware</w:t>
            </w:r>
          </w:p>
        </w:tc>
        <w:tc>
          <w:tcPr>
            <w:tcW w:w="1120" w:type="dxa"/>
            <w:vAlign w:val="bottom"/>
          </w:tcPr>
          <w:p>
            <w:pPr>
              <w:spacing w:after="0"/>
              <w:rPr>
                <w:sz w:val="24"/>
                <w:szCs w:val="24"/>
                <w:color w:val="auto"/>
              </w:rPr>
            </w:pPr>
          </w:p>
        </w:tc>
      </w:tr>
      <w:tr>
        <w:trPr>
          <w:trHeight w:val="230"/>
        </w:trPr>
        <w:tc>
          <w:tcPr>
            <w:tcW w:w="1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Samlyn, LP – Delaware</w:t>
            </w:r>
          </w:p>
        </w:tc>
        <w:tc>
          <w:tcPr>
            <w:tcW w:w="1120" w:type="dxa"/>
            <w:vAlign w:val="bottom"/>
          </w:tcPr>
          <w:p>
            <w:pPr>
              <w:spacing w:after="0"/>
              <w:rPr>
                <w:sz w:val="19"/>
                <w:szCs w:val="19"/>
                <w:color w:val="auto"/>
              </w:rPr>
            </w:pPr>
          </w:p>
        </w:tc>
      </w:tr>
      <w:tr>
        <w:trPr>
          <w:trHeight w:val="252"/>
        </w:trPr>
        <w:tc>
          <w:tcPr>
            <w:tcW w:w="1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Robert Pohly – United States of America</w:t>
            </w:r>
          </w:p>
        </w:tc>
        <w:tc>
          <w:tcPr>
            <w:tcW w:w="1120" w:type="dxa"/>
            <w:vAlign w:val="bottom"/>
          </w:tcPr>
          <w:p>
            <w:pPr>
              <w:spacing w:after="0"/>
              <w:rPr>
                <w:sz w:val="21"/>
                <w:szCs w:val="21"/>
                <w:color w:val="auto"/>
              </w:rPr>
            </w:pPr>
          </w:p>
        </w:tc>
      </w:tr>
      <w:tr>
        <w:trPr>
          <w:trHeight w:val="688"/>
        </w:trPr>
        <w:tc>
          <w:tcPr>
            <w:tcW w:w="19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7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 of Class of Securities:</w:t>
            </w:r>
          </w:p>
        </w:tc>
        <w:tc>
          <w:tcPr>
            <w:tcW w:w="1120" w:type="dxa"/>
            <w:vAlign w:val="bottom"/>
          </w:tcPr>
          <w:p>
            <w:pPr>
              <w:spacing w:after="0"/>
              <w:rPr>
                <w:sz w:val="24"/>
                <w:szCs w:val="24"/>
                <w:color w:val="auto"/>
              </w:rPr>
            </w:pPr>
          </w:p>
        </w:tc>
      </w:tr>
      <w:tr>
        <w:trPr>
          <w:trHeight w:val="490"/>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Common Stock, par value $0.0001 per share</w:t>
            </w:r>
          </w:p>
        </w:tc>
        <w:tc>
          <w:tcPr>
            <w:tcW w:w="1120" w:type="dxa"/>
            <w:vAlign w:val="bottom"/>
          </w:tcPr>
          <w:p>
            <w:pPr>
              <w:spacing w:after="0"/>
              <w:rPr>
                <w:sz w:val="24"/>
                <w:szCs w:val="24"/>
                <w:color w:val="auto"/>
              </w:rPr>
            </w:pPr>
          </w:p>
        </w:tc>
      </w:tr>
      <w:tr>
        <w:trPr>
          <w:trHeight w:val="699"/>
        </w:trPr>
        <w:tc>
          <w:tcPr>
            <w:tcW w:w="1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1" w:right="339" w:bottom="1440" w:gutter="0" w:footer="0" w:header="0"/>
        </w:sectPr>
      </w:pPr>
    </w:p>
    <w:bookmarkStart w:id="8" w:name="page9"/>
    <w:bookmarkEnd w:id="8"/>
    <w:p>
      <w:pPr>
        <w:ind w:left="1480"/>
        <w:spacing w:after="0"/>
        <w:tabs>
          <w:tab w:leader="none" w:pos="204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CUSIP Number:</w:t>
      </w:r>
    </w:p>
    <w:p>
      <w:pPr>
        <w:spacing w:after="0" w:line="25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221015100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1304290</wp:posOffset>
            </wp:positionH>
            <wp:positionV relativeFrom="paragraph">
              <wp:posOffset>22860</wp:posOffset>
            </wp:positionV>
            <wp:extent cx="5768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If This Statement is filed pursuant to ss.240.13d-1(b) or 240.13d-2(b), or (c), check whether the person filing is a</w:t>
      </w:r>
    </w:p>
    <w:p>
      <w:pPr>
        <w:spacing w:after="0" w:line="186" w:lineRule="exact"/>
        <w:rPr>
          <w:sz w:val="20"/>
          <w:szCs w:val="20"/>
          <w:color w:val="auto"/>
        </w:rPr>
      </w:pPr>
    </w:p>
    <w:p>
      <w:pPr>
        <w:sectPr>
          <w:pgSz w:w="11900" w:h="16838" w:orient="portrait"/>
          <w:cols w:equalWidth="0" w:num="2">
            <w:col w:w="1440" w:space="720"/>
            <w:col w:w="8880"/>
          </w:cols>
          <w:pgMar w:left="420" w:top="711" w:right="439" w:bottom="1440" w:gutter="0" w:footer="0" w:header="0"/>
          <w:type w:val="continuous"/>
        </w:sect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Broker or dealer registered under Section 15 of the Exchange Act (15 U.S.C. 78c).</w:t>
      </w:r>
    </w:p>
    <w:p>
      <w:pPr>
        <w:spacing w:after="0" w:line="25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Bank as defined in Section 3(a)(6) of the Exchange Act (15 U.S.C. 78c).</w:t>
      </w:r>
    </w:p>
    <w:p>
      <w:pPr>
        <w:spacing w:after="0" w:line="25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Insurance company as defined in Section 3(a)(19) of the Exchange Act (15 U.S.C. 78c).</w:t>
      </w:r>
    </w:p>
    <w:p>
      <w:pPr>
        <w:spacing w:after="0" w:line="256" w:lineRule="exact"/>
        <w:rPr>
          <w:rFonts w:ascii="Times New Roman" w:cs="Times New Roman" w:eastAsia="Times New Roman" w:hAnsi="Times New Roman"/>
          <w:sz w:val="20"/>
          <w:szCs w:val="20"/>
          <w:color w:val="auto"/>
        </w:rPr>
      </w:pPr>
    </w:p>
    <w:p>
      <w:pPr>
        <w:ind w:left="2720" w:hanging="1243"/>
        <w:spacing w:after="0" w:line="269" w:lineRule="auto"/>
        <w:tabs>
          <w:tab w:leader="none" w:pos="215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Investment company registered under Section 8 of the Investment Company Act of 1940 (15 U.S.C. 80a-8).</w:t>
      </w:r>
    </w:p>
    <w:p>
      <w:pPr>
        <w:spacing w:after="0" w:line="18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investment adviser in accordance with § 240.13d-1(b)(1)(ii)(E);</w:t>
      </w:r>
    </w:p>
    <w:p>
      <w:pPr>
        <w:spacing w:after="0" w:line="25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employee benefit plan or endowment fund in accordance with § 240.13d-1(b)(1)(ii)(F);</w:t>
      </w:r>
    </w:p>
    <w:p>
      <w:pPr>
        <w:spacing w:after="0" w:line="25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parent holding company or control person in accordance with Rule 13d-1(b)(1)(ii)(G);</w:t>
      </w:r>
    </w:p>
    <w:p>
      <w:pPr>
        <w:spacing w:after="0" w:line="25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savings association as defined in Section 3(b) of the Federal Deposit Insurance Act (12 U.S.C.1813);</w:t>
      </w:r>
    </w:p>
    <w:p>
      <w:pPr>
        <w:spacing w:after="0" w:line="256" w:lineRule="exact"/>
        <w:rPr>
          <w:rFonts w:ascii="Times New Roman" w:cs="Times New Roman" w:eastAsia="Times New Roman" w:hAnsi="Times New Roman"/>
          <w:sz w:val="20"/>
          <w:szCs w:val="20"/>
          <w:color w:val="auto"/>
        </w:rPr>
      </w:pPr>
    </w:p>
    <w:p>
      <w:pPr>
        <w:ind w:left="2720" w:right="160" w:hanging="1243"/>
        <w:spacing w:after="0" w:line="269" w:lineRule="auto"/>
        <w:tabs>
          <w:tab w:leader="none" w:pos="2153"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church plan that is excluded from the definition of an investment company under Section 3(c)(14) of the Investment Company Act of 1940 (15 U.S.C. 80a-3);</w:t>
      </w:r>
    </w:p>
    <w:p>
      <w:pPr>
        <w:spacing w:after="0" w:line="186" w:lineRule="exact"/>
        <w:rPr>
          <w:rFonts w:ascii="Times New Roman" w:cs="Times New Roman" w:eastAsia="Times New Roman" w:hAnsi="Times New Roman"/>
          <w:sz w:val="20"/>
          <w:szCs w:val="20"/>
          <w:color w:val="auto"/>
        </w:rPr>
      </w:pPr>
    </w:p>
    <w:p>
      <w:pPr>
        <w:ind w:left="2160" w:hanging="683"/>
        <w:spacing w:after="0"/>
        <w:tabs>
          <w:tab w:leader="none" w:pos="21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Group, in accordance with s.240.13d-1(b)(1)(ii)(J).</w:t>
      </w:r>
    </w:p>
    <w:p>
      <w:pPr>
        <w:sectPr>
          <w:pgSz w:w="11900" w:h="16838" w:orient="portrait"/>
          <w:cols w:equalWidth="0" w:num="1">
            <w:col w:w="11040"/>
          </w:cols>
          <w:pgMar w:left="420" w:top="71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Ownership.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 the following information regarding the aggregate number and percentage of the class of securities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issuer identified in Item 1.</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Amount beneficially owned:</w:t>
      </w:r>
    </w:p>
    <w:p>
      <w:pPr>
        <w:spacing w:after="0" w:line="200" w:lineRule="exact"/>
        <w:rPr>
          <w:sz w:val="20"/>
          <w:szCs w:val="20"/>
          <w:color w:val="auto"/>
        </w:rPr>
      </w:pPr>
    </w:p>
    <w:p>
      <w:pPr>
        <w:sectPr>
          <w:pgSz w:w="11900" w:h="16838" w:orient="portrait"/>
          <w:cols w:equalWidth="0" w:num="2">
            <w:col w:w="1100" w:space="720"/>
            <w:col w:w="9220"/>
          </w:cols>
          <w:pgMar w:left="420" w:top="711" w:right="439" w:bottom="1440" w:gutter="0" w:footer="0" w:header="0"/>
          <w:type w:val="continuous"/>
        </w:sectPr>
      </w:pPr>
    </w:p>
    <w:p>
      <w:pPr>
        <w:spacing w:after="0" w:line="56" w:lineRule="exact"/>
        <w:rPr>
          <w:sz w:val="20"/>
          <w:szCs w:val="20"/>
          <w:color w:val="auto"/>
        </w:rPr>
      </w:pPr>
    </w:p>
    <w:p>
      <w:pPr>
        <w:ind w:left="4360" w:right="220" w:hanging="1875"/>
        <w:spacing w:after="0" w:line="269" w:lineRule="auto"/>
        <w:rPr>
          <w:sz w:val="20"/>
          <w:szCs w:val="20"/>
          <w:color w:val="auto"/>
        </w:rPr>
      </w:pPr>
      <w:r>
        <w:rPr>
          <w:rFonts w:ascii="Times New Roman" w:cs="Times New Roman" w:eastAsia="Times New Roman" w:hAnsi="Times New Roman"/>
          <w:sz w:val="20"/>
          <w:szCs w:val="20"/>
          <w:color w:val="auto"/>
        </w:rPr>
        <w:t>Samlyn Capital, LLC – 6,263,758 shares of Common Stock (including 130,000 shares of Common Stock issuable upon exercise of Warrants)*</w:t>
      </w:r>
    </w:p>
    <w:p>
      <w:pPr>
        <w:spacing w:after="0" w:line="173" w:lineRule="exact"/>
        <w:rPr>
          <w:sz w:val="20"/>
          <w:szCs w:val="20"/>
          <w:color w:val="auto"/>
        </w:rPr>
      </w:pPr>
    </w:p>
    <w:p>
      <w:pPr>
        <w:ind w:left="3640" w:right="300" w:hanging="1146"/>
        <w:spacing w:after="0" w:line="269" w:lineRule="auto"/>
        <w:rPr>
          <w:sz w:val="20"/>
          <w:szCs w:val="20"/>
          <w:color w:val="auto"/>
        </w:rPr>
      </w:pPr>
      <w:r>
        <w:rPr>
          <w:rFonts w:ascii="Times New Roman" w:cs="Times New Roman" w:eastAsia="Times New Roman" w:hAnsi="Times New Roman"/>
          <w:sz w:val="20"/>
          <w:szCs w:val="20"/>
          <w:color w:val="auto"/>
        </w:rPr>
        <w:t>Samlyn, LP – 6,263,758 shares of Common Stock (including 130,000 shares of Common Stock issuable upon exercise of Warrants)*</w:t>
      </w:r>
    </w:p>
    <w:p>
      <w:pPr>
        <w:spacing w:after="0" w:line="173" w:lineRule="exact"/>
        <w:rPr>
          <w:sz w:val="20"/>
          <w:szCs w:val="20"/>
          <w:color w:val="auto"/>
        </w:rPr>
      </w:pPr>
    </w:p>
    <w:p>
      <w:pPr>
        <w:ind w:left="3720" w:right="180" w:hanging="1227"/>
        <w:spacing w:after="0" w:line="269" w:lineRule="auto"/>
        <w:rPr>
          <w:sz w:val="20"/>
          <w:szCs w:val="20"/>
          <w:color w:val="auto"/>
        </w:rPr>
      </w:pPr>
      <w:r>
        <w:rPr>
          <w:rFonts w:ascii="Times New Roman" w:cs="Times New Roman" w:eastAsia="Times New Roman" w:hAnsi="Times New Roman"/>
          <w:sz w:val="20"/>
          <w:szCs w:val="20"/>
          <w:color w:val="auto"/>
        </w:rPr>
        <w:t>Robert Pohly – 6,263,758 shares of Common Stock (including 130,000 shares of Common Stock issuable upon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-20955</wp:posOffset>
            </wp:positionV>
            <wp:extent cx="5554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498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295910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type w:val="continuous"/>
        </w:sectPr>
      </w:pPr>
    </w:p>
    <w:bookmarkStart w:id="9" w:name="page10"/>
    <w:bookmarkEnd w:id="9"/>
    <w:p>
      <w:pPr>
        <w:ind w:left="1380" w:hanging="586"/>
        <w:spacing w:after="0"/>
        <w:tabs>
          <w:tab w:leader="none" w:pos="13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5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Samlyn Capital, LLC – 9.99%*</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color w:val="auto"/>
        </w:rPr>
        <w:t>Samlyn, LP – 9.99%*</w:t>
      </w:r>
    </w:p>
    <w:p>
      <w:pPr>
        <w:ind w:left="1460"/>
        <w:spacing w:after="0"/>
        <w:rPr>
          <w:sz w:val="20"/>
          <w:szCs w:val="20"/>
          <w:color w:val="auto"/>
        </w:rPr>
      </w:pPr>
      <w:r>
        <w:rPr>
          <w:rFonts w:ascii="Times New Roman" w:cs="Times New Roman" w:eastAsia="Times New Roman" w:hAnsi="Times New Roman"/>
          <w:sz w:val="20"/>
          <w:szCs w:val="20"/>
          <w:color w:val="auto"/>
        </w:rPr>
        <w:t>Robert Pohly – 9.99%*</w:t>
      </w:r>
    </w:p>
    <w:p>
      <w:pPr>
        <w:spacing w:after="0" w:line="207" w:lineRule="exact"/>
        <w:rPr>
          <w:sz w:val="20"/>
          <w:szCs w:val="20"/>
          <w:color w:val="auto"/>
        </w:rPr>
      </w:pPr>
    </w:p>
    <w:p>
      <w:pPr>
        <w:jc w:val="both"/>
        <w:ind w:left="1460" w:firstLine="9"/>
        <w:spacing w:after="0" w:line="241" w:lineRule="auto"/>
        <w:tabs>
          <w:tab w:leader="none" w:pos="1641"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(“Samlyn Capital”) is deemed to beneficially own: (i) 6,133,758 shares of the issuer’s Common Stock; and (ii) 130,000 warrants of the issuer that each convert into shares of the issuer’s Common Stock on a 1-to-1 basis (the “Warrants”). The foregoing shares of Common Stock and Warrants are directly owned by certain of Samlyn Capital’s investment advisory clients (such clients, the “Samlyn Clients”). The amount reported excludes 3,503,978 warrants that are subject to a blocker provision that prevents each Samlyn Client from exercising such warrants if it or any of its affiliates, including Samlyn Capital, would be more than a 9.99% beneficial owner of the issuer’s outstanding Common Stock following such exercise (the “Blocker Provision”). Accordingly, the number of shares of Common Stock and the percentage of the issuer’s outstanding Common Stock deemed beneficially owned by Samlyn Capital have been adjusted to account for: (i) the maximum amount of warrants that the Samlyn Clients can collectively exercise, giving effect to the Blocker Provision; and (ii) the additional shares of Common Stock that would be issued by the issuer to the Samlyn Clients in connection with full exercise of the Warrants by the Samlyn Clients, giving effect to the Blocker Provision.</w:t>
      </w:r>
    </w:p>
    <w:p>
      <w:pPr>
        <w:spacing w:after="0" w:line="237"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56" w:lineRule="exact"/>
        <w:rPr>
          <w:rFonts w:ascii="Times New Roman" w:cs="Times New Roman" w:eastAsia="Times New Roman" w:hAnsi="Times New Roman"/>
          <w:sz w:val="20"/>
          <w:szCs w:val="20"/>
          <w:color w:val="auto"/>
        </w:rPr>
      </w:pPr>
    </w:p>
    <w:p>
      <w:pPr>
        <w:ind w:left="2360" w:hanging="987"/>
        <w:spacing w:after="0"/>
        <w:tabs>
          <w:tab w:leader="none" w:pos="23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42" w:lineRule="exact"/>
        <w:rPr>
          <w:rFonts w:ascii="Times New Roman" w:cs="Times New Roman" w:eastAsia="Times New Roman" w:hAnsi="Times New Roman"/>
          <w:sz w:val="20"/>
          <w:szCs w:val="20"/>
          <w:color w:val="auto"/>
        </w:rPr>
      </w:pPr>
    </w:p>
    <w:p>
      <w:pPr>
        <w:ind w:left="2360" w:right="5660" w:firstLine="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 0 Samlyn, LP – 0 Robert Pohly – 0</w:t>
      </w:r>
    </w:p>
    <w:p>
      <w:pPr>
        <w:spacing w:after="0" w:line="187" w:lineRule="exact"/>
        <w:rPr>
          <w:rFonts w:ascii="Times New Roman" w:cs="Times New Roman" w:eastAsia="Times New Roman" w:hAnsi="Times New Roman"/>
          <w:sz w:val="20"/>
          <w:szCs w:val="20"/>
          <w:color w:val="auto"/>
        </w:rPr>
      </w:pPr>
    </w:p>
    <w:p>
      <w:pPr>
        <w:ind w:left="2360" w:hanging="987"/>
        <w:spacing w:after="0"/>
        <w:tabs>
          <w:tab w:leader="none" w:pos="23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42" w:lineRule="exact"/>
        <w:rPr>
          <w:rFonts w:ascii="Times New Roman" w:cs="Times New Roman" w:eastAsia="Times New Roman" w:hAnsi="Times New Roman"/>
          <w:sz w:val="20"/>
          <w:szCs w:val="20"/>
          <w:color w:val="auto"/>
        </w:rPr>
      </w:pPr>
    </w:p>
    <w:p>
      <w:pPr>
        <w:ind w:left="2360" w:right="4980" w:firstLine="1"/>
        <w:spacing w:after="0" w:line="27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Samlyn Capital, LLC – 6,263,758 Samlyn, LP – 6,263,758 Robert Pohly – 6,263,758</w:t>
      </w:r>
    </w:p>
    <w:p>
      <w:pPr>
        <w:spacing w:after="0" w:line="183" w:lineRule="exact"/>
        <w:rPr>
          <w:rFonts w:ascii="Times New Roman" w:cs="Times New Roman" w:eastAsia="Times New Roman" w:hAnsi="Times New Roman"/>
          <w:sz w:val="20"/>
          <w:szCs w:val="20"/>
          <w:color w:val="auto"/>
        </w:rPr>
      </w:pPr>
    </w:p>
    <w:p>
      <w:pPr>
        <w:ind w:left="2360" w:hanging="987"/>
        <w:spacing w:after="0"/>
        <w:tabs>
          <w:tab w:leader="none" w:pos="23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42" w:lineRule="exact"/>
        <w:rPr>
          <w:rFonts w:ascii="Times New Roman" w:cs="Times New Roman" w:eastAsia="Times New Roman" w:hAnsi="Times New Roman"/>
          <w:sz w:val="20"/>
          <w:szCs w:val="20"/>
          <w:color w:val="auto"/>
        </w:rPr>
      </w:pPr>
    </w:p>
    <w:p>
      <w:pPr>
        <w:ind w:left="2360" w:right="5660" w:firstLine="1"/>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Samlyn Capital, LLC – 0 Samlyn, LP – 0 Robert Pohly – 0</w:t>
      </w:r>
    </w:p>
    <w:p>
      <w:pPr>
        <w:spacing w:after="0" w:line="201" w:lineRule="exact"/>
        <w:rPr>
          <w:rFonts w:ascii="Times New Roman" w:cs="Times New Roman" w:eastAsia="Times New Roman" w:hAnsi="Times New Roman"/>
          <w:sz w:val="20"/>
          <w:szCs w:val="20"/>
          <w:color w:val="auto"/>
        </w:rPr>
      </w:pPr>
    </w:p>
    <w:p>
      <w:pPr>
        <w:ind w:left="2360" w:hanging="987"/>
        <w:spacing w:after="0"/>
        <w:tabs>
          <w:tab w:leader="none" w:pos="23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w:t>
      </w:r>
    </w:p>
    <w:p>
      <w:pPr>
        <w:spacing w:after="0" w:line="242" w:lineRule="exact"/>
        <w:rPr>
          <w:rFonts w:ascii="Times New Roman" w:cs="Times New Roman" w:eastAsia="Times New Roman" w:hAnsi="Times New Roman"/>
          <w:sz w:val="20"/>
          <w:szCs w:val="20"/>
          <w:color w:val="auto"/>
        </w:rPr>
      </w:pPr>
    </w:p>
    <w:p>
      <w:pPr>
        <w:ind w:left="2360" w:right="4980" w:firstLine="1"/>
        <w:spacing w:after="0" w:line="27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Samlyn Capital, LLC – 6,263,758 Samlyn, LP – 6,263,758 Robert Pohly – 6,263,758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-3897630</wp:posOffset>
            </wp:positionV>
            <wp:extent cx="5554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568325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20"/>
          </w:cols>
          <w:pgMar w:left="1440" w:top="711" w:right="439" w:bottom="1440" w:gutter="0" w:footer="0" w:header="0"/>
        </w:sectPr>
      </w:pPr>
    </w:p>
    <w:bookmarkStart w:id="10" w:name="page11"/>
    <w:bookmarkEnd w:id="10"/>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43" w:lineRule="exact"/>
        <w:rPr>
          <w:sz w:val="20"/>
          <w:szCs w:val="20"/>
          <w:color w:val="auto"/>
        </w:rPr>
      </w:pPr>
    </w:p>
    <w:p>
      <w:pPr>
        <w:ind w:left="1820" w:right="24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[_].</w:t>
      </w:r>
    </w:p>
    <w:p>
      <w:pPr>
        <w:spacing w:after="0" w:line="18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43" w:lineRule="exact"/>
        <w:rPr>
          <w:sz w:val="20"/>
          <w:szCs w:val="20"/>
          <w:color w:val="auto"/>
        </w:rPr>
      </w:pPr>
    </w:p>
    <w:p>
      <w:pPr>
        <w:ind w:left="1820" w:right="120"/>
        <w:spacing w:after="0" w:line="246" w:lineRule="auto"/>
        <w:rPr>
          <w:sz w:val="20"/>
          <w:szCs w:val="20"/>
          <w:color w:val="auto"/>
        </w:rPr>
      </w:pPr>
      <w:r>
        <w:rPr>
          <w:rFonts w:ascii="Times New Roman" w:cs="Times New Roman" w:eastAsia="Times New Roman" w:hAnsi="Times New Roman"/>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All of the securities reported in this Schedule 13G are directly owned by advisory clients of Samlyn Capital,</w:t>
      </w:r>
    </w:p>
    <w:p>
      <w:pPr>
        <w:spacing w:after="0" w:line="22" w:lineRule="exact"/>
        <w:rPr>
          <w:sz w:val="20"/>
          <w:szCs w:val="20"/>
          <w:color w:val="auto"/>
        </w:rPr>
      </w:pPr>
    </w:p>
    <w:p>
      <w:pPr>
        <w:ind w:left="1820" w:right="120"/>
        <w:spacing w:after="0" w:line="246" w:lineRule="auto"/>
        <w:rPr>
          <w:sz w:val="20"/>
          <w:szCs w:val="20"/>
          <w:color w:val="auto"/>
        </w:rPr>
      </w:pPr>
      <w:r>
        <w:rPr>
          <w:rFonts w:ascii="Times New Roman" w:cs="Times New Roman" w:eastAsia="Times New Roman" w:hAnsi="Times New Roman"/>
          <w:sz w:val="20"/>
          <w:szCs w:val="20"/>
          <w:color w:val="auto"/>
        </w:rPr>
        <w:t>LLC. None of those advisory clients may be deemed to beneficially own more than 5% of the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-6985</wp:posOffset>
            </wp:positionV>
            <wp:extent cx="598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820" w:right="280" w:hanging="1808"/>
        <w:spacing w:after="0" w:line="269" w:lineRule="auto"/>
        <w:tabs>
          <w:tab w:leader="none" w:pos="18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w:t>
      </w:r>
    </w:p>
    <w:p>
      <w:pPr>
        <w:spacing w:after="0" w:line="186" w:lineRule="exact"/>
        <w:rPr>
          <w:sz w:val="20"/>
          <w:szCs w:val="20"/>
          <w:color w:val="auto"/>
        </w:rPr>
      </w:pPr>
    </w:p>
    <w:p>
      <w:pPr>
        <w:ind w:left="1820" w:right="40"/>
        <w:spacing w:after="0" w:line="249" w:lineRule="auto"/>
        <w:rPr>
          <w:sz w:val="20"/>
          <w:szCs w:val="20"/>
          <w:color w:val="auto"/>
        </w:rPr>
      </w:pPr>
      <w:r>
        <w:rPr>
          <w:rFonts w:ascii="Times New Roman" w:cs="Times New Roman" w:eastAsia="Times New Roman" w:hAnsi="Times New Roman"/>
          <w:sz w:val="20"/>
          <w:szCs w:val="20"/>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Please 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Identification and Classification of Members of the Group.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8.</w:t>
      </w:r>
    </w:p>
    <w:p>
      <w:pPr>
        <w:spacing w:after="0" w:line="221" w:lineRule="exact"/>
        <w:rPr>
          <w:sz w:val="20"/>
          <w:szCs w:val="20"/>
          <w:color w:val="auto"/>
        </w:rPr>
      </w:pPr>
    </w:p>
    <w:p>
      <w:pPr>
        <w:ind w:left="1820" w:right="100" w:hanging="7"/>
        <w:spacing w:after="0" w:line="274" w:lineRule="auto"/>
        <w:rPr>
          <w:sz w:val="20"/>
          <w:szCs w:val="20"/>
          <w:color w:val="auto"/>
        </w:rPr>
      </w:pPr>
      <w:r>
        <w:rPr>
          <w:rFonts w:ascii="Times New Roman" w:cs="Times New Roman" w:eastAsia="Times New Roman" w:hAnsi="Times New Roman"/>
          <w:sz w:val="19"/>
          <w:szCs w:val="19"/>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8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jc w:val="both"/>
        <w:ind w:left="1820" w:right="60" w:hanging="7"/>
        <w:spacing w:after="0" w:line="254" w:lineRule="auto"/>
        <w:rPr>
          <w:sz w:val="20"/>
          <w:szCs w:val="20"/>
          <w:color w:val="auto"/>
        </w:rPr>
      </w:pPr>
      <w:r>
        <w:rPr>
          <w:rFonts w:ascii="Times New Roman" w:cs="Times New Roman" w:eastAsia="Times New Roman" w:hAnsi="Times New Roman"/>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22860</wp:posOffset>
            </wp:positionV>
            <wp:extent cx="5983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spacing w:after="0" w:line="2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jc w:val="both"/>
        <w:ind w:left="2040"/>
        <w:spacing w:after="0" w:line="266"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290830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20"/>
          <w:szCs w:val="20"/>
          <w:color w:val="auto"/>
        </w:rPr>
        <w:t>August 1, 2024</w:t>
      </w:r>
    </w:p>
    <w:p>
      <w:pPr>
        <w:spacing w:after="0" w:line="2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-140335</wp:posOffset>
            </wp:positionV>
            <wp:extent cx="3557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SAMLYN CAPITAL, LLC*</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LP, its sole member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SAMLYN, LP*</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ROBERT POHLY*</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8"/>
        <w:spacing w:after="0" w:line="254" w:lineRule="auto"/>
        <w:tabs>
          <w:tab w:leader="none" w:pos="15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 Schedules filed in paper format shall include a signed original and five copies of the schedule, including all exhibits. See s.240.13d-7 for other parties for whom copies are to be 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Amendment No. 2 to Schedule 13G dated August 1, 2024 relating to the Common Stock, par value $0.0001 per share, of Corvus Pharmaceuticals, Inc. shall be filed on behalf of the undersigned.</w:t>
      </w:r>
    </w:p>
    <w:p>
      <w:pPr>
        <w:spacing w:after="0" w:line="3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SAMLYN CAPITAL, LLC</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LP, its sole member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SAMLYN, LP</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Samlyn GP, LLC, its general partner</w:t>
      </w:r>
    </w:p>
    <w:p>
      <w:pPr>
        <w:spacing w:after="0" w:line="256"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20"/>
          <w:szCs w:val="20"/>
          <w:color w:val="auto"/>
        </w:rPr>
        <w:t>Name: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b w:val="1"/>
          <w:bCs w:val="1"/>
          <w:color w:val="auto"/>
        </w:rPr>
        <w:t>ROBERT POHLY</w:t>
      </w:r>
    </w:p>
    <w:p>
      <w:pPr>
        <w:spacing w:after="0" w:line="260" w:lineRule="exact"/>
        <w:rPr>
          <w:sz w:val="20"/>
          <w:szCs w:val="20"/>
          <w:color w:val="auto"/>
        </w:rPr>
      </w:pPr>
    </w:p>
    <w:p>
      <w:pPr>
        <w:ind w:left="5740"/>
        <w:spacing w:after="0"/>
        <w:tabs>
          <w:tab w:leader="none" w:pos="6260" w:val="left"/>
        </w:tabs>
        <w:rPr>
          <w:sz w:val="20"/>
          <w:szCs w:val="20"/>
          <w:color w:val="auto"/>
        </w:rPr>
      </w:pPr>
      <w:r>
        <w:rPr>
          <w:rFonts w:ascii="Times New Roman" w:cs="Times New Roman" w:eastAsia="Times New Roman" w:hAnsi="Times New Roman"/>
          <w:sz w:val="20"/>
          <w:szCs w:val="20"/>
          <w:color w:val="auto"/>
        </w:rPr>
        <w:t>By:</w:t>
        <w:tab/>
        <w:t>/s/ Robert Pohly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922655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Samlyn Capital, LLC is the relevant entity for which Robert Pohly may be considered a control person.</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
      <w:numFmt w:val="bullet"/>
      <w:start w:val="1"/>
    </w:lvl>
    <w:lvl w:ilvl="1">
      <w:lvlJc w:val="left"/>
      <w:lvlText w:val="%2."/>
      <w:numFmt w:val="decimal"/>
      <w:start w:val="1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
      <w:numFmt w:val="bullet"/>
      <w:start w:val="1"/>
    </w:lvl>
    <w:lvl w:ilvl="1">
      <w:lvlJc w:val="left"/>
      <w:lvlText w:val="%2."/>
      <w:numFmt w:val="decimal"/>
      <w:start w:val="1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
      <w:numFmt w:val="bullet"/>
      <w:start w:val="1"/>
    </w:lvl>
    <w:lvl w:ilvl="1">
      <w:lvlJc w:val="left"/>
      <w:lvlText w:val="%2."/>
      <w:numFmt w:val="decimal"/>
      <w:start w:val="1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2024-08-01T20:26:11Z</dcterms:created>
  <dcterms:modified xsi:type="dcterms:W3CDTF">2024-08-01T20:26:11Z</dcterms:modified>
</cp:coreProperties>
</file>