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Corvus Pharmaceuticals,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001-37719</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46-4670809</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754" w:right="33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901 Gateway Boulevard, Third Floor</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South San Francisco, CA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94080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900-4520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CRVS</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r>
    </w:tbl>
    <w:p>
      <w:pPr>
        <w:spacing w:after="0" w:line="22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21, 2026, Corvus Pharmaceuticals, Inc. (the “Company”) entered into an underwriting agreement (the “Underwriting Agreement”) with Jefferies LLC and Goldman Sachs &amp; Co. LLC, as representatives (the “Representatives”) of the several underwriters named therein (collectively, the “Underwriters”), relating to the sale and issuance in an underwritten public offering (the “Offering”) by the Company of 7,900,677 shares (the “Shares”) of its common stock, $0.0001 par value per share (“Common Stock”), at a public offering price of $22.15 per Share. The Underwriters have agreed to purchase the Shares from the Company pursuant to the Underwriting Agreement at a price of $20.821 per share. In addition, the Company has also granted the Underwriters an option for a period of 30 days to purchase an additional 1,185,101 shares of the Company’s Common Stock (the “Option Shares”) at the public offering price, less underwriting discounts and commissions (the “Option”). On January 22, 2026, the Underwriters exercised the Option in full. The Offering is expected to close on January 23, 2026, subject to the satisfaction of customary closing conditions.</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Shares and the Option Shares in the Offering are being offered pursuant to a registration statement on Form S-3 (File No. 333-281318), filed with the Securities and Exchange Commission (the “SEC”) on August 6, 2024 which became effective on August 15, 2024, under the Securities Act of 1933, as amended (the “Securities Act”) and a related registration statement on Form S-3MEF (File No. 333-292864) filed with the SEC pursuant to Rule 462(b) under the Securities Act on January 21, 2026 which became effective automatically upon filing.</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net proceeds of the Offering to the Company, after deducting the underwriting discounts and commissions and offering expenses payable by the Company, will be approximately $163.6 million. The net proceeds from the Offering are expected to be approximately $188.3 million, after deducting underwriting discounts and commissions and estimated offering expenses payable by the Company, and giving effect to the Underwriters’ exercise of the Options in full. The Company intends to use the net proceeds from the Offering for working capital and general corporate purposes, which may include capital expenditures and research and development, including for its Phase 3 T cell lymphoma and Phase 2 atopic dermatitis, hidradenitis suppurativa and asthma clinical trials, sales and marketing and administrative expenses.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and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including being qualified by confidential disclosures exchanged between the parties in connection with the execution of the Underwriting Agreement.</w:t>
      </w:r>
    </w:p>
    <w:p>
      <w:pPr>
        <w:spacing w:after="0" w:line="18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 copy of the Underwriting Agreement is attached as Exhibit 1.1 hereto and is incorporated herein by reference. The foregoing descriptions of the Underwriting Agreement do not purport to be complete and is qualified in its entirety by reference to such exhibit.</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 copy of the opinion of Latham &amp; Watkins LLP relating to the validity of the Shares issued in the Offering is filed herewith as Exhibit 5.1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 Section 21E of the Securities Exchange Act of 1934, as amended.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“plans,” “anticipates,” “believes,” “estimates,” “predicts,” “projects,” “seeks,” “endeavor,” “potential,” “continue,” and similar expressions, or the negative of these terms, or similar expressions. These forward-looking statements include statements about the anticipated closing of the Offering, the expected net proceeds from the Offering, and the intended use of such proceeds. Accordingly, these statements involve estimates, assumptions, risks and uncertainties which could cause actual results to differ materially from those expressed in them, including the uncertainties related to market conditions and the completion of the public offering on the anticipated terms or at all. The Company’s forward-looking statements also involve assumptions that, if they prove incorrect, would cause its results to differ materially from those expressed or implied by such forward-looking statements. These and other risks concerning the Company’s business are described in additional detail in the Company’s Quarterly Report on Form 10-Q for the quarter ended September 30, 2025, the prospectus supplement related to the Offering, and other documents filed by the Company from time to time with the SEC. The Company is under no obligation to, and expressly disclaims any such obligation to, update or alter its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jc w:val="both"/>
        <w:ind w:left="320" w:right="10140" w:hanging="312"/>
        <w:spacing w:after="0" w:line="530" w:lineRule="auto"/>
        <w:tabs>
          <w:tab w:leader="none" w:pos="25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Exhibit</w:t>
      </w: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480"/>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EE"/>
        </w:rPr>
        <w:t>1.1</w:t>
      </w:r>
      <w:r>
        <w:rPr>
          <w:sz w:val="20"/>
          <w:szCs w:val="20"/>
          <w:color w:val="auto"/>
        </w:rPr>
        <w:tab/>
      </w:r>
      <w:r>
        <w:rPr>
          <w:rFonts w:ascii="Times New Roman" w:cs="Times New Roman" w:eastAsia="Times New Roman" w:hAnsi="Times New Roman"/>
          <w:sz w:val="17"/>
          <w:szCs w:val="17"/>
          <w:u w:val="single" w:color="auto"/>
          <w:color w:val="0000EE"/>
        </w:rPr>
        <w:t>Underwriting Agreement, dated as of January 21, 2026, among Corvus Pharmaceuticals, Inc., Jefferies LLC and Goldman Sachs &amp;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EE"/>
        </w:rPr>
        <w:t>LLC, as representatives of the several underwriters named therein.</w:t>
      </w:r>
    </w:p>
    <w:p>
      <w:pPr>
        <w:spacing w:after="0" w:line="207" w:lineRule="exact"/>
        <w:rPr>
          <w:sz w:val="20"/>
          <w:szCs w:val="20"/>
          <w:color w:val="auto"/>
        </w:rPr>
      </w:pPr>
    </w:p>
    <w:p>
      <w:pPr>
        <w:ind w:left="480"/>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Latham &amp; Watkins LLP.</w:t>
      </w:r>
    </w:p>
    <w:p>
      <w:pPr>
        <w:spacing w:after="0" w:line="225"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Latham &amp; Watkins LLP (included in Exhibit 5.1).</w:t>
      </w:r>
    </w:p>
    <w:p>
      <w:pPr>
        <w:spacing w:after="0" w:line="225"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0"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CORVUS PHARMACEUTICALS,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23,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Leiv Lea</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Leiv Lea</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7,900,677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Corvus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Introductory. </w:t>
      </w:r>
      <w:r>
        <w:rPr>
          <w:rFonts w:ascii="Times New Roman" w:cs="Times New Roman" w:eastAsia="Times New Roman" w:hAnsi="Times New Roman"/>
          <w:sz w:val="18"/>
          <w:szCs w:val="18"/>
          <w:color w:val="auto"/>
        </w:rPr>
        <w:t>Corvus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7,900,677 shares of its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to be sold by the Company are called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In addition, the Company has granted to the Underwriters an option to purchase up to an additional 1,185,101 shares of Common Stock as provided in ‎Section 2. The additional 1,185,101 shares of Common Stock to be sold by the Company pursuant to such option are collectively called the “</w:t>
      </w:r>
      <w:r>
        <w:rPr>
          <w:rFonts w:ascii="Times New Roman" w:cs="Times New Roman" w:eastAsia="Times New Roman" w:hAnsi="Times New Roman"/>
          <w:sz w:val="18"/>
          <w:szCs w:val="18"/>
          <w:b w:val="1"/>
          <w:bCs w:val="1"/>
          <w:color w:val="auto"/>
        </w:rPr>
        <w:t>Optional Shares</w:t>
      </w:r>
      <w:r>
        <w:rPr>
          <w:rFonts w:ascii="Times New Roman" w:cs="Times New Roman" w:eastAsia="Times New Roman" w:hAnsi="Times New Roman"/>
          <w:sz w:val="18"/>
          <w:szCs w:val="18"/>
          <w:color w:val="auto"/>
        </w:rPr>
        <w:t>.” The Firm Shares and, if and to the extent such option is exercised, the Optional Shares are collectively called the “</w:t>
      </w:r>
      <w:r>
        <w:rPr>
          <w:rFonts w:ascii="Times New Roman" w:cs="Times New Roman" w:eastAsia="Times New Roman" w:hAnsi="Times New Roman"/>
          <w:sz w:val="18"/>
          <w:szCs w:val="18"/>
          <w:b w:val="1"/>
          <w:bCs w:val="1"/>
          <w:color w:val="auto"/>
        </w:rPr>
        <w:t>Offered Shares</w:t>
      </w:r>
      <w:r>
        <w:rPr>
          <w:rFonts w:ascii="Times New Roman" w:cs="Times New Roman" w:eastAsia="Times New Roman" w:hAnsi="Times New Roman"/>
          <w:sz w:val="18"/>
          <w:szCs w:val="18"/>
          <w:color w:val="auto"/>
        </w:rPr>
        <w:t>.” Jefferies LLC and Goldman Sachs &amp; Co. LLC have agreed to act as representatives of the several Underwriters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in connection with the offering and sale of the Offered Shares. To the extent there are no additional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term “Representatives” as used herein shall mean you, as Underwriters, and the term “Underwriters” shall mean either the singular or the plural, as the context requires.</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shelf registration statement on Form S-3, File No. 333-281318, including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all documents incorporated or deemed to be incorporated by reference therein and any information deemed to be a part thereof at the time of effectiveness pursuant to Rule 430B under the Securities Act, is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registration statement filed by the Company pursuant to Rule 462(b) under the Securities Act in connection with the offer and sale of the Offered Shares is called the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and from and after the date and time of filing of any such Rule 462(b) Registration Statement the term “Registration Statement” shall include the</w:t>
      </w:r>
    </w:p>
    <w:p>
      <w:pPr>
        <w:spacing w:after="0" w:line="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Rule 462(b) Registration Statement. The preliminary prospectus supplement dated January 20, 2026 describing the Offered Shares and the offering thereof (the “</w:t>
      </w:r>
      <w:r>
        <w:rPr>
          <w:rFonts w:ascii="Times New Roman" w:cs="Times New Roman" w:eastAsia="Times New Roman" w:hAnsi="Times New Roman"/>
          <w:sz w:val="18"/>
          <w:szCs w:val="18"/>
          <w:b w:val="1"/>
          <w:bCs w:val="1"/>
          <w:color w:val="auto"/>
        </w:rPr>
        <w:t>Preliminary Prospectus Supplement</w:t>
      </w:r>
      <w:r>
        <w:rPr>
          <w:rFonts w:ascii="Times New Roman" w:cs="Times New Roman" w:eastAsia="Times New Roman" w:hAnsi="Times New Roman"/>
          <w:sz w:val="18"/>
          <w:szCs w:val="18"/>
          <w:color w:val="auto"/>
        </w:rPr>
        <w:t>”), together with the Base Prospectus, is called 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and the Preliminary Prospectus and any other prospectus supplement to the Base Prospectus in preliminary form that describes the Offered Shares and the offering thereof and is used prior to the filing of the Prospectus (as defined below), together with the Base Prospectus, is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final prospectus supplement to the Base Prospectus that describes the Offered Shares and the offering thereof (the “</w:t>
      </w:r>
      <w:r>
        <w:rPr>
          <w:rFonts w:ascii="Times New Roman" w:cs="Times New Roman" w:eastAsia="Times New Roman" w:hAnsi="Times New Roman"/>
          <w:sz w:val="18"/>
          <w:szCs w:val="18"/>
          <w:b w:val="1"/>
          <w:bCs w:val="1"/>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together with the Base Prospectus, in the form first used by the Underwriters to confirm sales of the Offered Shares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5:30 p.m. (New York City time) on January 21, 2026. As used herein, “</w:t>
      </w:r>
      <w:r>
        <w:rPr>
          <w:rFonts w:ascii="Times New Roman" w:cs="Times New Roman" w:eastAsia="Times New Roman" w:hAnsi="Times New Roman"/>
          <w:sz w:val="18"/>
          <w:szCs w:val="18"/>
          <w:b w:val="1"/>
          <w:bCs w:val="1"/>
          <w:color w:val="auto"/>
        </w:rPr>
        <w:t>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has the meaning set forth in Rule 405 under the Securities Act, and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 Preliminary Prospectus,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amended or supplemented immediately prior to the Applicable Time, together with the free writing prospectuses, if any, identified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As used herein,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means a “road show” (as defined in Rule 433 under the Securities Act) relating to the offering of the Offered Shares contemplated hereby that is a “written communication” (as defined in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ind w:right="180" w:firstLine="648"/>
        <w:spacing w:after="0" w:line="257"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Rule 462(b)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and (ii) the Prospectus shall be deemed to include any “electronic Prospectus” provided for use in connection with the offering of the Offered Shares as contemplated by Section 3(n) of this Agreement.</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the event that the Company has only one subsidiary, then all references herein to “subsidiaries” of the Company shall be deemed to refer to such single subsidiary,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right="4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            Representations and Warranties of the Company. </w:t>
      </w:r>
      <w:r>
        <w:rPr>
          <w:rFonts w:ascii="Times New Roman" w:cs="Times New Roman" w:eastAsia="Times New Roman" w:hAnsi="Times New Roman"/>
          <w:sz w:val="18"/>
          <w:szCs w:val="18"/>
          <w:color w:val="auto"/>
        </w:rPr>
        <w:t>The Company hereby represents, warrants and covenants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 as of the date of this Agreement, as of the First Closing Date (as hereinafter defined) and as of each Option Closing Date (as hereinafter defined), if any, as follows:</w:t>
      </w:r>
    </w:p>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i w:val="1"/>
          <w:iCs w:val="1"/>
          <w:color w:val="auto"/>
        </w:rPr>
        <w:t>Compliance with Registration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Registration Statement has become effective under the Securities Act.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 At the time the Company’s Annual Report on Form 10-K for the year ended 2024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was filed with the Commission, or, if later, at the time the Registration Statement was originally filed with the Commission, the Company met the then-applicable requirements for use of Form S-3 under the Securities Act. The Company meets the requirements for use of Form S-3 under the Securities Act specified in FINRA Conduct Rule 5110(B)(7)(C)(i).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pacing w:after="0" w:line="185"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b w:val="1"/>
          <w:bCs w:val="1"/>
          <w:i w:val="1"/>
          <w:iCs w:val="1"/>
          <w:color w:val="auto"/>
        </w:rPr>
        <w:t>Disclosure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preliminary prospectus and the Prospectus when filed complied in all material respects with the Securities Act and, if filed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w:t>
      </w:r>
    </w:p>
    <w:p>
      <w:pPr>
        <w:spacing w:after="0" w:line="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therein not misleading. As of the Applicable Time, the Time of Sale Prospectus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1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i w:val="1"/>
          <w:iCs w:val="1"/>
          <w:color w:val="auto"/>
        </w:rPr>
        <w:t>Free Writing Prospectuses; Road Show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determination date referenced in Rule 164(h) under the Securities Act, the Company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and 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Distribution of Offering Material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later of (i) the expiration or termination of the option granted to the several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Underwriters in ‎Section 2 and (ii) the completion of the Underwriters’ distribution of the Offered Shares,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b w:val="1"/>
          <w:bCs w:val="1"/>
          <w:i w:val="1"/>
          <w:iCs w:val="1"/>
          <w:color w:val="auto"/>
        </w:rPr>
        <w:t>The Underwriting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sz w:val="20"/>
          <w:szCs w:val="20"/>
          <w:color w:val="auto"/>
        </w:rPr>
      </w:pPr>
    </w:p>
    <w:p>
      <w:pPr>
        <w:jc w:val="both"/>
        <w:ind w:right="1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            </w:t>
      </w:r>
      <w:r>
        <w:rPr>
          <w:rFonts w:ascii="Times New Roman" w:cs="Times New Roman" w:eastAsia="Times New Roman" w:hAnsi="Times New Roman"/>
          <w:sz w:val="18"/>
          <w:szCs w:val="18"/>
          <w:b w:val="1"/>
          <w:bCs w:val="1"/>
          <w:i w:val="1"/>
          <w:iCs w:val="1"/>
          <w:color w:val="auto"/>
        </w:rPr>
        <w:t>Authorization of the Offered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Offered Shares have been duly authorized for issuance and sale pursuant 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(g)            </w:t>
      </w:r>
      <w:r>
        <w:rPr>
          <w:rFonts w:ascii="Times New Roman" w:cs="Times New Roman" w:eastAsia="Times New Roman" w:hAnsi="Times New Roman"/>
          <w:sz w:val="18"/>
          <w:szCs w:val="18"/>
          <w:b w:val="1"/>
          <w:bCs w:val="1"/>
          <w:i w:val="1"/>
          <w:iCs w:val="1"/>
          <w:color w:val="auto"/>
        </w:rPr>
        <w:t>Good Standing of the Company</w:t>
      </w:r>
      <w:r>
        <w:rPr>
          <w:rFonts w:ascii="Times New Roman" w:cs="Times New Roman" w:eastAsia="Times New Roman" w:hAnsi="Times New Roman"/>
          <w:sz w:val="18"/>
          <w:szCs w:val="18"/>
          <w:color w:val="auto"/>
        </w:rPr>
        <w:t>. The Company has been duly incorporated and is existing and in good standing under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with power and authority (corporate and other) to own its properties and conduct its business as described in the Registration Statement, the Time of Sale Prospectus and the Prospectus; and the Company is duly qualified to do business as a foreign corporation in good standing in all other jurisdictions in which its ownership or lease of property or the conduct of its business requires such qualification, except where the failure to be so qualified or in good standing in such other jurisdictions would not, individually or in the aggregate, reasonably be expected to result in a material adverse effect</w:t>
      </w:r>
    </w:p>
    <w:p>
      <w:pPr>
        <w:spacing w:after="0" w:line="3" w:lineRule="exact"/>
        <w:rPr>
          <w:sz w:val="20"/>
          <w:szCs w:val="20"/>
          <w:color w:val="auto"/>
        </w:rPr>
      </w:pPr>
    </w:p>
    <w:p>
      <w:pPr>
        <w:ind w:right="100" w:firstLine="8"/>
        <w:spacing w:after="0" w:line="255" w:lineRule="auto"/>
        <w:tabs>
          <w:tab w:leader="none" w:pos="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condition (financial or otherwise), results of operations, business, properties or prospects of the Company and its subsidiaries, taken as a whole,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(h)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Each subsidiary of the Company has been duly incorporated and is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jurisdictions of its incorporation, with power and authority (corporate and other) to own its properties and conduct its business as described in the Registration Statement, the Time of Sale Prospectus and the Prospectus; and each subsidiary of the Company is duly qualified to do business as a foreign corporation in good standing in all other jurisdictions in which its ownership or lease of property or the conduct of its business requires such qualification, except where the failure to be so qualified or in good standing in such other jurisdictions would not, individually or in the aggregate, reasonably be expected to result in a Material Adverse Change; all of the issued and outstanding capital stock of each subsidiary of the Company has been duly authorized and validly issued and is fully paid and nonassessable; and the capital stock of each subsidiary owned by the Company, directly or through subsidiaries, is owned free from liens, encumbrances and defects. Except as disclosed in the Registration Statement, the Company does not own or control, directly or indirectly, any corporation, association or other entity other than the subsidiaries listed in Exhibit 21.1 to the Company’s Annual Report on Form 10-K for the fiscal year ended December 31, 2024.</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right="40" w:firstLine="648"/>
        <w:spacing w:after="0" w:line="269" w:lineRule="auto"/>
        <w:rPr>
          <w:sz w:val="20"/>
          <w:szCs w:val="20"/>
          <w:color w:val="auto"/>
        </w:rPr>
      </w:pPr>
      <w:r>
        <w:rPr>
          <w:rFonts w:ascii="Times New Roman" w:cs="Times New Roman" w:eastAsia="Times New Roman" w:hAnsi="Times New Roman"/>
          <w:sz w:val="17"/>
          <w:szCs w:val="17"/>
          <w:b w:val="1"/>
          <w:bCs w:val="1"/>
          <w:color w:val="auto"/>
        </w:rPr>
        <w:t>(i)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The authorized, issued and outstanding capital stock of the Company is as set forth in the Registration Statement, the Time of Sale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Prospectus and the Prospectus (other than for subsequent issuances, if any, pursuant to employee benefit plans, or upon the exercise of outstanding options or warrants, in each case described in the Registration Statement, the Time of Sale Prospectus and the Prospectus). The Offered Shares and all other outstanding shares of capital stock of the Company have been duly authorized; the authorized equity capitalization of the Company is as set forth in the Prospectus; all outstanding shares of capital stock of the Company are, and, when the Offered Shares have been delivered and paid for in accordance with this Agreement, such Offered Shares will have been, validly issued, fully paid and nonassessable, will conform in all material respects to the information in the Time of Sale Prospectus and to the description of such Offered Shares contained in the Registration Statement, the Time of Sale Prospectus and the Prospectus; the stockholders of the Company have no preemptive rights with respect to the Offered Shares that have not been duly waived or satisfied; and none of the outstanding shares of capital stock of the Company have been issued in violation of any preemptive or similar rights of any security holder.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presents the information required to be shown with respect to such plans, arrangements, options and rights in all material respects.</w:t>
      </w:r>
    </w:p>
    <w:p>
      <w:pPr>
        <w:spacing w:after="0" w:line="17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(j)            </w:t>
      </w:r>
      <w:r>
        <w:rPr>
          <w:rFonts w:ascii="Times New Roman" w:cs="Times New Roman" w:eastAsia="Times New Roman" w:hAnsi="Times New Roman"/>
          <w:sz w:val="18"/>
          <w:szCs w:val="18"/>
          <w:b w:val="1"/>
          <w:bCs w:val="1"/>
          <w:i w:val="1"/>
          <w:iCs w:val="1"/>
          <w:color w:val="auto"/>
        </w:rPr>
        <w:t>No Finder’s Fee</w:t>
      </w:r>
      <w:r>
        <w:rPr>
          <w:rFonts w:ascii="Times New Roman" w:cs="Times New Roman" w:eastAsia="Times New Roman" w:hAnsi="Times New Roman"/>
          <w:sz w:val="18"/>
          <w:szCs w:val="18"/>
          <w:color w:val="auto"/>
        </w:rPr>
        <w:t>. There are no contracts, agreements or understandings between the Company and any person that would give rise to a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 against the Company or the Representatives for a brokerage commission, finder’s fee or other like payment in connection with this offering.</w:t>
      </w:r>
    </w:p>
    <w:p>
      <w:pPr>
        <w:spacing w:after="0" w:line="155"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(k)           </w:t>
      </w:r>
      <w:r>
        <w:rPr>
          <w:rFonts w:ascii="Times New Roman" w:cs="Times New Roman" w:eastAsia="Times New Roman" w:hAnsi="Times New Roman"/>
          <w:sz w:val="18"/>
          <w:szCs w:val="18"/>
          <w:b w:val="1"/>
          <w:bCs w:val="1"/>
          <w:i w:val="1"/>
          <w:iCs w:val="1"/>
          <w:color w:val="auto"/>
        </w:rPr>
        <w:t>Registration Rights</w:t>
      </w:r>
      <w:r>
        <w:rPr>
          <w:rFonts w:ascii="Times New Roman" w:cs="Times New Roman" w:eastAsia="Times New Roman" w:hAnsi="Times New Roman"/>
          <w:sz w:val="18"/>
          <w:szCs w:val="18"/>
          <w:color w:val="auto"/>
        </w:rPr>
        <w:t>. There are no contracts, agreements or understandings between the Company and any person granting such person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the offering contemplated by this Agreement.</w:t>
      </w:r>
    </w:p>
    <w:p>
      <w:pPr>
        <w:spacing w:after="0" w:line="176"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(l)            </w:t>
      </w: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color w:val="auto"/>
        </w:rPr>
        <w:t>. The shares of Common Stock are registered pursuant to Section 12(b) or 12(g) of the Exchange Act and are listed on the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Market. The Company has taken no action designed to, or likely to have the effect of, terminating the registration of the shares of Common Stock under the Exchange Act or delisting the shares of Common Stock from the Nasdaq, nor has the Company received any notification that the Commission or the Nasdaq is contemplating terminating such registration or listing. To the Company’s knowledge, it is in compliance with all applicable listing requirements of the Nasdaq.</w:t>
      </w:r>
    </w:p>
    <w:p>
      <w:pPr>
        <w:spacing w:after="0" w:line="179"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(m)           </w:t>
      </w:r>
      <w:r>
        <w:rPr>
          <w:rFonts w:ascii="Times New Roman" w:cs="Times New Roman" w:eastAsia="Times New Roman" w:hAnsi="Times New Roman"/>
          <w:sz w:val="18"/>
          <w:szCs w:val="18"/>
          <w:b w:val="1"/>
          <w:bCs w:val="1"/>
          <w:i w:val="1"/>
          <w:iCs w:val="1"/>
          <w:color w:val="auto"/>
        </w:rPr>
        <w:t>Absence of Further Requirements</w:t>
      </w:r>
      <w:r>
        <w:rPr>
          <w:rFonts w:ascii="Times New Roman" w:cs="Times New Roman" w:eastAsia="Times New Roman" w:hAnsi="Times New Roman"/>
          <w:sz w:val="18"/>
          <w:szCs w:val="18"/>
          <w:color w:val="auto"/>
        </w:rPr>
        <w:t>. No consent, approval, authorization, or order of, or filing or registration with, any person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governmental agency or body or any court) is required for the consummation of the transactions contemplated by this Agreement in connection with the offering, issuance and sale of the Offered Shares by the Company, except such as have been obtained, or made and such as may be required under state securities laws or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(n)           </w:t>
      </w:r>
      <w:r>
        <w:rPr>
          <w:rFonts w:ascii="Times New Roman" w:cs="Times New Roman" w:eastAsia="Times New Roman" w:hAnsi="Times New Roman"/>
          <w:sz w:val="18"/>
          <w:szCs w:val="18"/>
          <w:b w:val="1"/>
          <w:bCs w:val="1"/>
          <w:i w:val="1"/>
          <w:iCs w:val="1"/>
          <w:color w:val="auto"/>
        </w:rPr>
        <w:t>Title to Property</w:t>
      </w:r>
      <w:r>
        <w:rPr>
          <w:rFonts w:ascii="Times New Roman" w:cs="Times New Roman" w:eastAsia="Times New Roman" w:hAnsi="Times New Roman"/>
          <w:sz w:val="18"/>
          <w:szCs w:val="18"/>
          <w:color w:val="auto"/>
        </w:rPr>
        <w:t>. Except as would not reasonably be expected to result in a Material Adverse Change, the Company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good and marketable title to all personal property and assets owned by them, in each case free from liens, charges, encumbrances and defects, and the Company and its subsidiaries hold any leased real or personal property under valid and enforceable leases with no terms or provisions that would materially interfere with the use made or to be made thereof by them. Neither the Company nor any of its subsidiaries own any real property.</w:t>
      </w:r>
    </w:p>
    <w:p>
      <w:pPr>
        <w:spacing w:after="0" w:line="17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(o)            </w:t>
      </w:r>
      <w:r>
        <w:rPr>
          <w:rFonts w:ascii="Times New Roman" w:cs="Times New Roman" w:eastAsia="Times New Roman" w:hAnsi="Times New Roman"/>
          <w:sz w:val="18"/>
          <w:szCs w:val="18"/>
          <w:b w:val="1"/>
          <w:bCs w:val="1"/>
          <w:i w:val="1"/>
          <w:iCs w:val="1"/>
          <w:color w:val="auto"/>
        </w:rPr>
        <w:t>Absence of Defaults and Conflicts Resulting from Transaction</w:t>
      </w:r>
      <w:r>
        <w:rPr>
          <w:rFonts w:ascii="Times New Roman" w:cs="Times New Roman" w:eastAsia="Times New Roman" w:hAnsi="Times New Roman"/>
          <w:sz w:val="18"/>
          <w:szCs w:val="18"/>
          <w:color w:val="auto"/>
        </w:rPr>
        <w:t>. The execution, delivery and performance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will not result in a breach or violation of any of the terms and provisions of, or constitute a default or a Debt Repayment Triggering Event (as defined below) under, or result in the imposition of any lien, charge or encumbrance upon any property or assets of the Company or any of its subsidiaries pursuant to, (i) the charter or bylaws of the Company or any of its subsidiaries, (ii) any statute, rule, regulation or order of any governmental agency or body or any court, domestic or foreign, having jurisdiction over the Company, any of its subsidiaries or any of their properties, or (iii) any agreement or instrument to which the Company or any of its subsidiaries is a party or by which the Company or any of its subsidiaries is bound or to which any of the properties of the Company or any of its subsidiaries is subject, except in the case of each of clauses (ii) and (iii), where such breaches, violations, defaults, liens, charges or encumbrances would not, individually or in the aggregate, reasonably be expected to result in a Material Adverse Change; a “Debt Repayment Triggering Event”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FINRA.</w:t>
      </w:r>
    </w:p>
    <w:p>
      <w:pPr>
        <w:spacing w:after="0" w:line="193" w:lineRule="exact"/>
        <w:rPr>
          <w:sz w:val="20"/>
          <w:szCs w:val="20"/>
          <w:color w:val="auto"/>
        </w:rPr>
      </w:pPr>
    </w:p>
    <w:p>
      <w:pPr>
        <w:ind w:right="2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(p)            </w:t>
      </w:r>
      <w:r>
        <w:rPr>
          <w:rFonts w:ascii="Times New Roman" w:cs="Times New Roman" w:eastAsia="Times New Roman" w:hAnsi="Times New Roman"/>
          <w:sz w:val="18"/>
          <w:szCs w:val="18"/>
          <w:b w:val="1"/>
          <w:bCs w:val="1"/>
          <w:i w:val="1"/>
          <w:iCs w:val="1"/>
          <w:color w:val="auto"/>
        </w:rPr>
        <w:t>Absence of Existing Defaults and Conflicts</w:t>
      </w:r>
      <w:r>
        <w:rPr>
          <w:rFonts w:ascii="Times New Roman" w:cs="Times New Roman" w:eastAsia="Times New Roman" w:hAnsi="Times New Roman"/>
          <w:sz w:val="18"/>
          <w:szCs w:val="18"/>
          <w:color w:val="auto"/>
        </w:rPr>
        <w:t>. Neither the Company nor any of its subsidiaries is in violation of its respective charter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or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except such defaults that would not, individually or in the aggregate, reasonably be expected to result in a Material Adverse Change.</w:t>
      </w:r>
    </w:p>
    <w:p>
      <w:pPr>
        <w:spacing w:after="0" w:line="17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(q)            </w:t>
      </w:r>
      <w:r>
        <w:rPr>
          <w:rFonts w:ascii="Times New Roman" w:cs="Times New Roman" w:eastAsia="Times New Roman" w:hAnsi="Times New Roman"/>
          <w:sz w:val="18"/>
          <w:szCs w:val="18"/>
          <w:b w:val="1"/>
          <w:bCs w:val="1"/>
          <w:i w:val="1"/>
          <w:iCs w:val="1"/>
          <w:color w:val="auto"/>
        </w:rPr>
        <w:t>Possession of Licenses and Permits</w:t>
      </w:r>
      <w:r>
        <w:rPr>
          <w:rFonts w:ascii="Times New Roman" w:cs="Times New Roman" w:eastAsia="Times New Roman" w:hAnsi="Times New Roman"/>
          <w:sz w:val="18"/>
          <w:szCs w:val="18"/>
          <w:color w:val="auto"/>
        </w:rPr>
        <w:t>. Except in such cases that would not reasonably be expected to result in a Material Adverse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subsidiaries possess, and are in compliance with the terms of, all adequate certificates, authorizations, franchises, licenses and permits (“</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necessary or material to the conduct of the business now conducted in the Registration Statement, the Time of Sale Prospectus and the Prospectus to be conducted by or on behalf of them, including, without limitation, from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and neither the Company nor any of its subsidiaries has received any written notice of proceedings relating to the revocation or modification of any Licenses that, if determined adversely to the Company and or any of its subsidiaries, would, individually or in the aggregate, reasonably be expected to have a Material Adverse Change.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            </w:t>
      </w:r>
      <w:r>
        <w:rPr>
          <w:rFonts w:ascii="Times New Roman" w:cs="Times New Roman" w:eastAsia="Times New Roman" w:hAnsi="Times New Roman"/>
          <w:sz w:val="18"/>
          <w:szCs w:val="18"/>
          <w:b w:val="1"/>
          <w:bCs w:val="1"/>
          <w:i w:val="1"/>
          <w:iCs w:val="1"/>
          <w:color w:val="auto"/>
        </w:rPr>
        <w:t>Absence of Labor Dispute</w:t>
      </w:r>
      <w:r>
        <w:rPr>
          <w:rFonts w:ascii="Times New Roman" w:cs="Times New Roman" w:eastAsia="Times New Roman" w:hAnsi="Times New Roman"/>
          <w:sz w:val="18"/>
          <w:szCs w:val="18"/>
          <w:color w:val="auto"/>
        </w:rPr>
        <w:t>. No labor dispute with the employees of the Company or any of its subsidiaries exists or, to the knowledge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imminent that would reasonably be expected to have a Material Adverse Change.</w:t>
      </w:r>
    </w:p>
    <w:p>
      <w:pPr>
        <w:spacing w:after="0" w:line="15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Except as would not reasonably be expected to have a Material Adverse Change, the Company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or have obtained valid and enforceable licenses for, or otherwise have the right to use, all patents, patent applications, inventions, copyrights, know how (including trade secrets and other unpatented and/or unpatentable proprietary or confidential information, systems or procedures), trademark registrations and applications for registration, service marks, trade names, domain names, and other similar intellectual property or proprietary rights, whether or not registered (including all goodwill associated with the foregoing, as applicable)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necessary and material to the conduct of the business now conducted by them. To the Company’s knowledge the conduct of the business of the Company and its subsidiaries has not conflicted with, infringed, misappropriated or otherwise violated any Intellectual Property Rights of any third party. Except as would not, if determined adversely to the Company and its subsidiaries, individually or in the aggregate, reasonably be expected to have a Material Adverse Change, (i) there are no claims asserted in writing by third parties to ownership of any of the Intellectual Property Rights owned by the Company or any of its subsidiaries; (ii) to the Company’s knowledge, all issued patents contained within the Intellectual Property Rights owned or licensed by the Company or any of its subsidiaries are valid and enforceable, solely owned or licensed by the Company or its subsidiaries and, to the extent owned, are owned free and clear of all liens and encumbrances; (iii) to the Company’s knowledge, without any duty to conduct a special search, there is no material infringement, misappropriation, breach, default or other violation by any third party of any of the Intellectual Property Rights owned by or licensed to the Company or any of its subsidiaries; (iv) there is no pending or, to the Company’s knowledge, without any duty to conduct a special search, threatened action, suit, proceeding or claim by others challenging the rights of the Company or any of its subsidiaries in or to the Intellectual Property Rights owned by or licensed to the Company or any of its subsidiaries; (v) there is no pending or, to the Company’s knowledge, without any duty to conduct a special search, threatened action, suit, proceeding or claim by others challenging the validity, enforceability or scope of any such Intellectual Property Rights; (vi) there is no pending or, to the Company’s knowledge, without any duty to conduct a special search, threatened action, suit, proceeding or claim by others that the Company or any of its subsidiaries infringes, misappropriates or otherwise violates any Intellectual Property Rights or other proprietary rights of others and the Company is unaware of any other fact which would form a reasonable basis for any such claim; and (vii) none of the Intellectual Property Rights used by the Company or any of its subsidiaries in their respective businesses has been obtained or is being used by the Company or any of its subsidiaries in violation of any contractual obligation binding on the Company or any of its subsidiaries.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(t)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Neither the Company nor any of its subsidiaries is in violation of any statute, any rule, regulation, decision or order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the Company and its subsidiaries do not own or operate any real property contaminated with any substance that is subject to any environmental laws, are not liable for any off-site disposal or contamination pursuant to any environmental laws, and are not subject to any claim relating to any environmental laws, which violation, contamination, liability or claim would, individually or in the aggregate, reasonably be expected to have a Material Adverse Change; and the Company is not aware of any pending investigation which might lead to such a claim.</w:t>
      </w:r>
    </w:p>
    <w:p>
      <w:pPr>
        <w:spacing w:after="0" w:line="183"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(u)            </w:t>
      </w:r>
      <w:r>
        <w:rPr>
          <w:rFonts w:ascii="Times New Roman" w:cs="Times New Roman" w:eastAsia="Times New Roman" w:hAnsi="Times New Roman"/>
          <w:sz w:val="18"/>
          <w:szCs w:val="18"/>
          <w:b w:val="1"/>
          <w:bCs w:val="1"/>
          <w:i w:val="1"/>
          <w:iCs w:val="1"/>
          <w:color w:val="auto"/>
        </w:rPr>
        <w:t>Absence of Manipulation</w:t>
      </w:r>
      <w:r>
        <w:rPr>
          <w:rFonts w:ascii="Times New Roman" w:cs="Times New Roman" w:eastAsia="Times New Roman" w:hAnsi="Times New Roman"/>
          <w:sz w:val="18"/>
          <w:szCs w:val="18"/>
          <w:color w:val="auto"/>
        </w:rPr>
        <w:t>. The Company has not taken, directly or indirectly, any action that is designed to or that has constituted or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reasonably be expected to cause or result in the stabilization or manipulation of the price of the Offered Shares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with respect to the Offered Shares, whether to facilitate the sale or resale of the Offered Shares or otherwise, and has taken no action which would directly or indirectly violate Regulation M.</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(v)            </w:t>
      </w:r>
      <w:r>
        <w:rPr>
          <w:rFonts w:ascii="Times New Roman" w:cs="Times New Roman" w:eastAsia="Times New Roman" w:hAnsi="Times New Roman"/>
          <w:sz w:val="18"/>
          <w:szCs w:val="18"/>
          <w:b w:val="1"/>
          <w:bCs w:val="1"/>
          <w:i w:val="1"/>
          <w:iCs w:val="1"/>
          <w:color w:val="auto"/>
        </w:rPr>
        <w:t>Parties to Lock-Up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furnished to the Underwriters a letter agreement in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xml:space="preserve">”) from each of the persons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lists under an appropriate caption the directors and officers of the Company. If any additional persons shall become directors or officers of the Company prior to the end of the Company Lock-up Period (as defined below), the Company shall cause each such person, prior to or contemporaneously with their appointment or election as a director or officer of the Company, to execute and deliver to the Representatives a Lock-up Agreement.</w:t>
      </w:r>
    </w:p>
    <w:p>
      <w:pPr>
        <w:spacing w:after="0" w:line="179"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           </w:t>
      </w:r>
      <w:r>
        <w:rPr>
          <w:rFonts w:ascii="Times New Roman" w:cs="Times New Roman" w:eastAsia="Times New Roman" w:hAnsi="Times New Roman"/>
          <w:sz w:val="18"/>
          <w:szCs w:val="18"/>
          <w:b w:val="1"/>
          <w:bCs w:val="1"/>
          <w:i w:val="1"/>
          <w:iCs w:val="1"/>
          <w:color w:val="auto"/>
        </w:rPr>
        <w:t>Statistical and Market-Related Data</w:t>
      </w:r>
      <w:r>
        <w:rPr>
          <w:rFonts w:ascii="Times New Roman" w:cs="Times New Roman" w:eastAsia="Times New Roman" w:hAnsi="Times New Roman"/>
          <w:sz w:val="18"/>
          <w:szCs w:val="18"/>
          <w:color w:val="auto"/>
        </w:rPr>
        <w:t>. Any third-party statistical and market-related data included in the Prospectus is based on or derived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sources that the Company believes to be reliable and accurate.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(x)            </w:t>
      </w:r>
      <w:r>
        <w:rPr>
          <w:rFonts w:ascii="Times New Roman" w:cs="Times New Roman" w:eastAsia="Times New Roman" w:hAnsi="Times New Roman"/>
          <w:sz w:val="18"/>
          <w:szCs w:val="18"/>
          <w:b w:val="1"/>
          <w:bCs w:val="1"/>
          <w:i w:val="1"/>
          <w:iCs w:val="1"/>
          <w:color w:val="auto"/>
        </w:rPr>
        <w:t>Internal Controls and Compliance with the Sarbanes-Oxley Act</w:t>
      </w:r>
      <w:r>
        <w:rPr>
          <w:rFonts w:ascii="Times New Roman" w:cs="Times New Roman" w:eastAsia="Times New Roman" w:hAnsi="Times New Roman"/>
          <w:sz w:val="18"/>
          <w:szCs w:val="18"/>
          <w:color w:val="auto"/>
        </w:rPr>
        <w:t>. The Company, its subsidiaries and the Company’s Board of Directors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are in compliance with the applicable provisions of the Sarbanes Oxley Act of 2002 (“</w:t>
      </w:r>
      <w:r>
        <w:rPr>
          <w:rFonts w:ascii="Times New Roman" w:cs="Times New Roman" w:eastAsia="Times New Roman" w:hAnsi="Times New Roman"/>
          <w:sz w:val="18"/>
          <w:szCs w:val="18"/>
          <w:b w:val="1"/>
          <w:bCs w:val="1"/>
          <w:color w:val="auto"/>
        </w:rPr>
        <w:t>Sarbanes-Oxley</w:t>
      </w:r>
      <w:r>
        <w:rPr>
          <w:rFonts w:ascii="Times New Roman" w:cs="Times New Roman" w:eastAsia="Times New Roman" w:hAnsi="Times New Roman"/>
          <w:sz w:val="18"/>
          <w:szCs w:val="18"/>
          <w:color w:val="auto"/>
        </w:rPr>
        <w:t>”) and all applicable the rules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Stock Market LLC (“</w:t>
      </w:r>
      <w:r>
        <w:rPr>
          <w:rFonts w:ascii="Times New Roman" w:cs="Times New Roman" w:eastAsia="Times New Roman" w:hAnsi="Times New Roman"/>
          <w:sz w:val="18"/>
          <w:szCs w:val="18"/>
          <w:b w:val="1"/>
          <w:bCs w:val="1"/>
          <w:color w:val="auto"/>
        </w:rPr>
        <w:t>Exchange Rules</w:t>
      </w:r>
      <w:r>
        <w:rPr>
          <w:rFonts w:ascii="Times New Roman" w:cs="Times New Roman" w:eastAsia="Times New Roman" w:hAnsi="Times New Roman"/>
          <w:sz w:val="18"/>
          <w:szCs w:val="18"/>
          <w:color w:val="auto"/>
        </w:rPr>
        <w:t>”). The Company maintains a system of “internal controls over financial reporting” (as defined in Rule 13a-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15(f) of the Exchange Act), including, but not limited to, disclosure controls and procedures and internal controls over accounting matters and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and legal and regulatory compliance controls (collectively, “</w:t>
      </w:r>
      <w:r>
        <w:rPr>
          <w:rFonts w:ascii="Times New Roman" w:cs="Times New Roman" w:eastAsia="Times New Roman" w:hAnsi="Times New Roman"/>
          <w:sz w:val="18"/>
          <w:szCs w:val="18"/>
          <w:b w:val="1"/>
          <w:bCs w:val="1"/>
          <w:color w:val="auto"/>
        </w:rPr>
        <w:t>Internal Controls</w:t>
      </w:r>
      <w:r>
        <w:rPr>
          <w:rFonts w:ascii="Times New Roman" w:cs="Times New Roman" w:eastAsia="Times New Roman" w:hAnsi="Times New Roman"/>
          <w:sz w:val="18"/>
          <w:szCs w:val="18"/>
          <w:color w:val="auto"/>
        </w:rPr>
        <w:t>”) comply with the Sarbanes Oxley, the Securities Act,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the rules and regulations of the Commission, the auditing principles, rules, standards and practices applicable to the auditors of “issuers”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in Sarbanes-Oxley) promulgated or approved by the Public Company Accounting Oversight Board and the Exchange Rules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Laws</w:t>
      </w:r>
      <w:r>
        <w:rPr>
          <w:rFonts w:ascii="Times New Roman" w:cs="Times New Roman" w:eastAsia="Times New Roman" w:hAnsi="Times New Roman"/>
          <w:sz w:val="18"/>
          <w:szCs w:val="18"/>
          <w:color w:val="auto"/>
        </w:rPr>
        <w:t>”) (to the extent applicable) and are sufficient to provide reasonable assurances that (i) transactions are executed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general or specific authorizations, (ii) transactions are recorded as necessary to permit preparation of financial statements in conformity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and to maintain accountability for assets, (iii) access to assets is permitted only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management’s general or specific authorization and (iv) the recorded accountability for assets is compared with the existing assets at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intervals and appropriate action is taken with respect to any differences. The Internal Controls are overseen by the Audit Committee (the “</w:t>
      </w:r>
      <w:r>
        <w:rPr>
          <w:rFonts w:ascii="Times New Roman" w:cs="Times New Roman" w:eastAsia="Times New Roman" w:hAnsi="Times New Roman"/>
          <w:sz w:val="18"/>
          <w:szCs w:val="18"/>
          <w:b w:val="1"/>
          <w:bCs w:val="1"/>
          <w:color w:val="auto"/>
        </w:rPr>
        <w:t>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of the Board in accordance with Exchange Rules. The Company has not publicly disclosed or reported to the Audit Committee or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within the next 135 days the Company does not reasonably expect to publicly disclose or report to the Audit Committee or the Board, a “significant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deficiency”, “material weakness” (each as defined in Rule 12b-2 of the Exchange Act), adverse change in Internal Controls or fraud involving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employees who have a significant role in Internal Controls, or any violation of, or failure to comply with, the Securities Laws, which, if determined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adversely, would have a Material Adverse Change. The Company is not aware of any change in its internal control over financial reporting that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 during its most recent fiscal quarter that has materially affected, or is reasonably likely to materially affect, the Company’s internal control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reporting.</w:t>
      </w:r>
    </w:p>
    <w:p>
      <w:pPr>
        <w:spacing w:after="0" w:line="20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(y)            </w:t>
      </w: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 There are no pending actions, suits or proceedings (including, to the Company’s knowledge, any inquiries or investigations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court or governmental agency or body, domestic or foreign) against or affecting the Company, any of its subsidiaries or any of their respective properties that, if determined adversely to the Company or any of its subsidiaries, would, individually or in the aggregate, reasonably be expected to have a Material Adverse Change, or would materially and adversely affect the ability of the Company to perform its obligations under this Agreement, or which are otherwise material in the context of the sale of the Offered Shares; and no such actions, suits or proceedings (including, to the Company’s knowledge, any inquiries or investigations by any court or governmental agency or body, domestic or foreign) are threatened or, to the Company’s knowledge, contemplated.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(z)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The financial statements filed with the Commission as part of the Registration Statement, the Time of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and the Prospectus present fairly in all material respects the financial position of the Company and its consolidated subsidiaries as of the dates shown and their results of operations and cash flows for the periods shown, and such financial statements have been prepared in conformity with GAAP, applied on a consistent basis.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82"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(aa)          </w:t>
      </w:r>
      <w:r>
        <w:rPr>
          <w:rFonts w:ascii="Times New Roman" w:cs="Times New Roman" w:eastAsia="Times New Roman" w:hAnsi="Times New Roman"/>
          <w:sz w:val="18"/>
          <w:szCs w:val="18"/>
          <w:b w:val="1"/>
          <w:bCs w:val="1"/>
          <w:i w:val="1"/>
          <w:iCs w:val="1"/>
          <w:color w:val="auto"/>
        </w:rPr>
        <w:t>Auditor Independence</w:t>
      </w:r>
      <w:r>
        <w:rPr>
          <w:rFonts w:ascii="Times New Roman" w:cs="Times New Roman" w:eastAsia="Times New Roman" w:hAnsi="Times New Roman"/>
          <w:sz w:val="18"/>
          <w:szCs w:val="18"/>
          <w:color w:val="auto"/>
        </w:rPr>
        <w:t>. PricewaterhouseCoopers LLP, who has certified certain financial statements of the Company, is an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public accounting firm with respect to the Company within the applicable rules and regulations adopted by the Commission and the Public Company Accounting Oversight Board (United States) and as required by the Securities Act.</w:t>
      </w:r>
    </w:p>
    <w:p>
      <w:pPr>
        <w:spacing w:after="0" w:line="171"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(bb)          </w:t>
      </w:r>
      <w:r>
        <w:rPr>
          <w:rFonts w:ascii="Times New Roman" w:cs="Times New Roman" w:eastAsia="Times New Roman" w:hAnsi="Times New Roman"/>
          <w:sz w:val="18"/>
          <w:szCs w:val="18"/>
          <w:b w:val="1"/>
          <w:bCs w:val="1"/>
          <w:i w:val="1"/>
          <w:iCs w:val="1"/>
          <w:color w:val="auto"/>
        </w:rPr>
        <w:t>No Material Adverse Change</w:t>
      </w:r>
      <w:r>
        <w:rPr>
          <w:rFonts w:ascii="Times New Roman" w:cs="Times New Roman" w:eastAsia="Times New Roman" w:hAnsi="Times New Roman"/>
          <w:sz w:val="18"/>
          <w:szCs w:val="18"/>
          <w:color w:val="auto"/>
        </w:rPr>
        <w:t>. Since the end of the period covered by the latest audited financial statements incorporated by reference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Registration Statement, the Time of Sale Prospectus and the Prospectus, (i) there has been no change, nor any development or event involving a prospective change, that would reasonably be expected to result in a Material Adverse Change, (ii) there has been no dividend or distribution of any kind declared, paid or made by the Company on any class of its capital stock and (iii) there has been no material adverse change in the capital stock, short-term indebtedness, long-term indebtedness, net current assets or net assets of the Company and its subsidiaries.</w:t>
      </w:r>
    </w:p>
    <w:p>
      <w:pPr>
        <w:spacing w:after="0" w:line="179"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(cc)          </w:t>
      </w:r>
      <w:r>
        <w:rPr>
          <w:rFonts w:ascii="Times New Roman" w:cs="Times New Roman" w:eastAsia="Times New Roman" w:hAnsi="Times New Roman"/>
          <w:sz w:val="18"/>
          <w:szCs w:val="18"/>
          <w:b w:val="1"/>
          <w:bCs w:val="1"/>
          <w:i w:val="1"/>
          <w:iCs w:val="1"/>
          <w:color w:val="auto"/>
        </w:rPr>
        <w:t>Investment Company Act</w:t>
      </w:r>
      <w:r>
        <w:rPr>
          <w:rFonts w:ascii="Times New Roman" w:cs="Times New Roman" w:eastAsia="Times New Roman" w:hAnsi="Times New Roman"/>
          <w:sz w:val="18"/>
          <w:szCs w:val="18"/>
          <w:color w:val="auto"/>
        </w:rPr>
        <w:t>. The Company is not and, after giving effect to the offering and sale of the Offered Shares and the application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proceeds thereof as described under “Use of Proceeds” in the Registration Statement, the Time of Sale Prospectus or Prospectus, will not be an “investment company” as defined in the Investment Company Act of 1940, as amended.</w:t>
      </w:r>
    </w:p>
    <w:p>
      <w:pPr>
        <w:spacing w:after="0" w:line="171"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(dd)          </w:t>
      </w:r>
      <w:r>
        <w:rPr>
          <w:rFonts w:ascii="Times New Roman" w:cs="Times New Roman" w:eastAsia="Times New Roman" w:hAnsi="Times New Roman"/>
          <w:sz w:val="18"/>
          <w:szCs w:val="18"/>
          <w:b w:val="1"/>
          <w:bCs w:val="1"/>
          <w:i w:val="1"/>
          <w:iCs w:val="1"/>
          <w:color w:val="auto"/>
        </w:rPr>
        <w:t>Ratings.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does not have any debt securities or preferred stock that are rated by any “nationally recognized statistical 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(as defined in Section 3(a)(62) of the Exchange Act).</w:t>
      </w:r>
    </w:p>
    <w:p>
      <w:pPr>
        <w:spacing w:after="0" w:line="15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(ee)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its subsidiaries nor any of its directors or officers, nor, to the knowledge of the Company,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agents or affiliates is currently the subject or the target of any U.S. sanctions administered by the Office of Foreign Assets Control of the U.S. Department of the Treasury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Sanctions, including, without limitation, the so-called Donetsk People’s Republic, the so-called Luhansk People’s Republic, the non-government controlled areas of the Zaporizhzhia and Kherson Regions of Ukraine and any other “Covered Region” of Ukraine identified pursuant to Executive Order 14065,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(ff)           </w:t>
      </w:r>
      <w:r>
        <w:rPr>
          <w:rFonts w:ascii="Times New Roman" w:cs="Times New Roman" w:eastAsia="Times New Roman" w:hAnsi="Times New Roman"/>
          <w:sz w:val="18"/>
          <w:szCs w:val="18"/>
          <w:b w:val="1"/>
          <w:bCs w:val="1"/>
          <w:i w:val="1"/>
          <w:iCs w:val="1"/>
          <w:color w:val="auto"/>
        </w:rPr>
        <w:t>Anti-Corruption and Anti-Bribery Laws</w:t>
      </w:r>
      <w:r>
        <w:rPr>
          <w:rFonts w:ascii="Times New Roman" w:cs="Times New Roman" w:eastAsia="Times New Roman" w:hAnsi="Times New Roman"/>
          <w:sz w:val="18"/>
          <w:szCs w:val="18"/>
          <w:color w:val="auto"/>
        </w:rPr>
        <w:t>. Neither the Company nor any of its subsidiaries nor any director or officer, nor to the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any employee of the Company or any of its subsidiaries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w:t>
      </w:r>
    </w:p>
    <w:p>
      <w:pPr>
        <w:spacing w:after="0" w:line="4" w:lineRule="exact"/>
        <w:rPr>
          <w:sz w:val="20"/>
          <w:szCs w:val="20"/>
          <w:color w:val="auto"/>
        </w:rPr>
      </w:pPr>
    </w:p>
    <w:p>
      <w:pPr>
        <w:jc w:val="both"/>
        <w:ind w:right="360" w:firstLine="8"/>
        <w:spacing w:after="0" w:line="253"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U.S. Foreign Corrupt Practices Act of 1977, as amended,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have instituted and maintain policies and procedures reasonably designed to ensure continued compliance therewith.</w:t>
      </w:r>
    </w:p>
    <w:p>
      <w:pPr>
        <w:spacing w:after="0" w:line="185"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(gg)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applicable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(hh)         </w:t>
      </w:r>
      <w:r>
        <w:rPr>
          <w:rFonts w:ascii="Times New Roman" w:cs="Times New Roman" w:eastAsia="Times New Roman" w:hAnsi="Times New Roman"/>
          <w:sz w:val="18"/>
          <w:szCs w:val="18"/>
          <w:b w:val="1"/>
          <w:bCs w:val="1"/>
          <w:i w:val="1"/>
          <w:iCs w:val="1"/>
          <w:color w:val="auto"/>
        </w:rPr>
        <w:t>Compliance with Health Care Laws</w:t>
      </w:r>
      <w:r>
        <w:rPr>
          <w:rFonts w:ascii="Times New Roman" w:cs="Times New Roman" w:eastAsia="Times New Roman" w:hAnsi="Times New Roman"/>
          <w:sz w:val="18"/>
          <w:szCs w:val="18"/>
          <w:color w:val="auto"/>
        </w:rPr>
        <w:t>. The Company and its subsidiaries are, and at all times during the past three (3) years have been,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all applicable Health Care Laws, except where the failures to so comply would not reasonably be expected to result in a Material Adverse Change.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(42 U.S.C. Section 1320d et seq.),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all other comparable local, state, federal, national, supranational and foreign laws, and (v) the directives and regulations promulgated pursuant to such statutes. Except as would not, whether individually or in the aggregate, reasonably be expected to have a Material Adverse Change, during the past three (3) years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Except as would not, whether individually or in the aggregate, reasonably be expected to have a Material Adverse Change, during the past three (3) years, the Company and its subsidiaries have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during the past three (3) years, neither the Company, any of its subsidiaries nor any of their respective employees, officers, directors or, to the Company’s knowledge,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4" w:name="page15"/>
    <w:bookmarkEnd w:id="14"/>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b w:val="1"/>
          <w:bCs w:val="1"/>
          <w:i w:val="1"/>
          <w:iCs w:val="1"/>
          <w:color w:val="auto"/>
        </w:rPr>
        <w:t>Clinical Data and Regulatory Compliance</w:t>
      </w:r>
      <w:r>
        <w:rPr>
          <w:rFonts w:ascii="Times New Roman" w:cs="Times New Roman" w:eastAsia="Times New Roman" w:hAnsi="Times New Roman"/>
          <w:sz w:val="18"/>
          <w:szCs w:val="18"/>
          <w:color w:val="auto"/>
        </w:rPr>
        <w:t>. The preclinical tests and clinical trials, and other studies sponsored or conducted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its subsidiaries, that are described in, or the results of which are referred to in, the Registration Statement, the Time of Sale Prospectus or the Prospectus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were and, if still pending, are being conducted in all material respects in accordance with all applicable Healthcare Laws; each description of the results of such Studies is accurate in all material respects, and the Company and its subsidiaries have no knowledge of any other studies the results of which are inconsistent with, or otherwise call into question, the results described or referred to in the Registration Statement, the Time of Sale Prospectuses or the Prospectus in any material respect; the Company and its subsidiaries have made all material filings and obtained all such material approvals as may be required by the FDA or any committee thereof or from any other U.S. or foreign government or drug or medical device regulatory agency, or health care facility Institutional Review Board for the conduct of such studies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and neither the Company nor any of its subsidiaries has received any written notice of, or correspondence from, any Regulatory Agency requiring the termination or suspension or modification of any ongoing or proposed Studies; and during the past three (3) years, the Company and its subsidiaries have each operated and currently are in compliance in all material respects with all applicable rules, regulations enforced by the Regulatory Agencies.</w:t>
      </w:r>
    </w:p>
    <w:p>
      <w:pPr>
        <w:spacing w:after="0" w:line="18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(jj)           </w:t>
      </w:r>
      <w:r>
        <w:rPr>
          <w:rFonts w:ascii="Times New Roman" w:cs="Times New Roman" w:eastAsia="Times New Roman" w:hAnsi="Times New Roman"/>
          <w:sz w:val="18"/>
          <w:szCs w:val="18"/>
          <w:b w:val="1"/>
          <w:bCs w:val="1"/>
          <w:i w:val="1"/>
          <w:iCs w:val="1"/>
          <w:color w:val="auto"/>
        </w:rPr>
        <w:t>ERISA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subsidiaries and any “employee benefit plan” (as defined under the Employee Retirement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Security Act of 1974, as amended, and the regulations and published interpretations thereunder (collectively,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w:t>
      </w:r>
    </w:p>
    <w:p>
      <w:pPr>
        <w:jc w:val="both"/>
        <w:ind w:right="120" w:firstLine="8"/>
        <w:spacing w:after="0" w:line="255"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(kk)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The Company has filed all federal, state, local and non-U.S. tax returns that are required to be filed through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have obtained extensions thereof (except in any case in which the failure to file would not, individually or in the aggregate, reasonably be expected to have a Material Adverse Change) and have paid all taxes required to be paid thereon, including any assessments, fines or penalties related thereto (except for any such taxes, assessments, fines or penalties being contested in good faith for which reserves required by GAAP have been created in the financial statements of the Company, or, except in any case in which the failure to file or pay would not, individually or in the aggregate, reasonably be expected to have a Material Adverse Change); and no tax deficiency has been determined adversely to the Company which has had (nor does the Company have any notice or knowledge of any tax deficiency which could reasonably be expected to be determined adversely to the Company and which would reasonably be expected to have) a Material Adverse Change.</w:t>
      </w:r>
    </w:p>
    <w:p>
      <w:pPr>
        <w:spacing w:after="0" w:line="18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(ll)           </w:t>
      </w: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color w:val="auto"/>
        </w:rPr>
        <w:t>. The Company is insured by insurers with appropriately rated claims paying abilities against such losses and risks and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as are prudent and customary for similarly sized companies in the businesses in which it is engaged; all policies of insurance and fidelity or surety bonds insuring the Company or its business, assets, employees, officers and directors are in full force and effect, except as would not, individually or in the aggregate, reasonably be expected to result in a Material Adverse Change;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insurance coverage sought or applied for; the Company does not have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Change; and the Company has obtained directors’ and officers’ insurance in such amounts as is customary for similarly sized companies in the businesses in which it is engaged.</w:t>
      </w:r>
    </w:p>
    <w:p>
      <w:pPr>
        <w:spacing w:after="0" w:line="185"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b w:val="1"/>
          <w:bCs w:val="1"/>
          <w:color w:val="auto"/>
        </w:rPr>
        <w:t>(mm)       </w:t>
      </w:r>
      <w:r>
        <w:rPr>
          <w:rFonts w:ascii="Times New Roman" w:cs="Times New Roman" w:eastAsia="Times New Roman" w:hAnsi="Times New Roman"/>
          <w:sz w:val="17"/>
          <w:szCs w:val="17"/>
          <w:b w:val="1"/>
          <w:bCs w:val="1"/>
          <w:i w:val="1"/>
          <w:iCs w:val="1"/>
          <w:color w:val="auto"/>
        </w:rPr>
        <w:t>Cybersecurity; Data Privacy</w:t>
      </w:r>
      <w:r>
        <w:rPr>
          <w:rFonts w:ascii="Times New Roman" w:cs="Times New Roman" w:eastAsia="Times New Roman" w:hAnsi="Times New Roman"/>
          <w:sz w:val="17"/>
          <w:szCs w:val="17"/>
          <w:color w:val="auto"/>
        </w:rPr>
        <w:t>. (i) To the Company’s knowledge, there has been no security breach, attack or other compromise of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relating to any of the Company’s information technology and computer systems, networks, hardware, software or data maintained by or on behalf of the Company (including the data of its customers, employees, suppliers, vendors and any other third party data maintained by or on behalf of the Company) (collectively, the “</w:t>
      </w:r>
      <w:r>
        <w:rPr>
          <w:rFonts w:ascii="Times New Roman" w:cs="Times New Roman" w:eastAsia="Times New Roman" w:hAnsi="Times New Roman"/>
          <w:sz w:val="17"/>
          <w:szCs w:val="17"/>
          <w:b w:val="1"/>
          <w:bCs w:val="1"/>
          <w:color w:val="auto"/>
        </w:rPr>
        <w:t>IT Systems and Data</w:t>
      </w:r>
      <w:r>
        <w:rPr>
          <w:rFonts w:ascii="Times New Roman" w:cs="Times New Roman" w:eastAsia="Times New Roman" w:hAnsi="Times New Roman"/>
          <w:sz w:val="17"/>
          <w:szCs w:val="17"/>
          <w:color w:val="auto"/>
        </w:rPr>
        <w:t>”) that would not, individually or in the aggregate, reasonably be expected to result in a Material Adverse Change;</w:t>
      </w:r>
    </w:p>
    <w:p>
      <w:pPr>
        <w:ind w:firstLine="8"/>
        <w:spacing w:after="0" w:line="251"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in compliance with all applicable laws or statutes and all applicable judgments, orders, rules and regulations of any court or arbitrator or governmental or regulatory authority, internal policies and contractual obligations relating to (x) the privacy and security of the IT Systems and Data, (y) the protection of the IT Systems and Data from unauthorized use, access, misappropriation or modification and (z) the collection, use, transfer, processing, storage, disposal and disclosure by the Company of personally identifiable information and/or any other information collected from or provided by third parties, except as would not, in the case of this clause (ii), individually or in the aggregate, have a Material Adverse Change; (iii) the Company has implemented commercially reasonable backup and disaster recovery and security plans, procedures and facilities for its business consistent with industry standards and practices; and (iv) the Company has taken commercially reasonable steps for its business consistent with industry standards and practices to protect the IT Systems and Data.</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(nn)         </w:t>
      </w:r>
      <w:r>
        <w:rPr>
          <w:rFonts w:ascii="Times New Roman" w:cs="Times New Roman" w:eastAsia="Times New Roman" w:hAnsi="Times New Roman"/>
          <w:sz w:val="18"/>
          <w:szCs w:val="18"/>
          <w:b w:val="1"/>
          <w:bCs w:val="1"/>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(oo)         </w:t>
      </w:r>
      <w:r>
        <w:rPr>
          <w:rFonts w:ascii="Times New Roman" w:cs="Times New Roman" w:eastAsia="Times New Roman" w:hAnsi="Times New Roman"/>
          <w:sz w:val="18"/>
          <w:szCs w:val="18"/>
          <w:b w:val="1"/>
          <w:bCs w:val="1"/>
          <w:i w:val="1"/>
          <w:iCs w:val="1"/>
          <w:color w:val="auto"/>
        </w:rPr>
        <w:t>Forward-Looking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financial or operational projection or other “forward-looking statement” (as defined by Section 27A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2.            Purchase, Sale and Delivery of the Offered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(a)            </w:t>
      </w:r>
      <w:r>
        <w:rPr>
          <w:rFonts w:ascii="Times New Roman" w:cs="Times New Roman" w:eastAsia="Times New Roman" w:hAnsi="Times New Roman"/>
          <w:sz w:val="17"/>
          <w:szCs w:val="17"/>
          <w:b w:val="1"/>
          <w:bCs w:val="1"/>
          <w:i w:val="1"/>
          <w:iCs w:val="1"/>
          <w:color w:val="auto"/>
        </w:rPr>
        <w:t>The Firm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the terms herein set forth, the Company agrees to issue and sell to the several Underwriters an aggregate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7,900,677 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The purchase price per Firm Share to be paid by the several Underwriters to the Company shall be $20.821 per share.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i w:val="1"/>
          <w:iCs w:val="1"/>
          <w:color w:val="auto"/>
        </w:rPr>
        <w:t>The First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certificates for the Firm Shares to be purchased by the Underwriters and payment therefor shall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at the offices of Paul Hastings LLP, The MetLife Building, 200 Park Avenue, New York, New York 10166 (or such other place as may be agreed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Company and the Representatives) at 9:00 a.m. New York City time, on January 23, 2026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such other time and date not later than 1:30 p.m.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 City time, on February 6, 2026 as the Representatives shall designate by notice to the Company (the time and date of such closing are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The Company hereby acknowledges that circumstances under which the Representatives may provide notice to postpone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as originally scheduled include, but are not limited to, any determination by the Company or the Representatives to recirculate to the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an amended or supplemented Prospectus or a delay as contemplated by the provisions of Section 11.</w:t>
      </w:r>
    </w:p>
    <w:p>
      <w:pPr>
        <w:spacing w:after="0" w:line="203"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(c)            </w:t>
      </w:r>
      <w:r>
        <w:rPr>
          <w:rFonts w:ascii="Times New Roman" w:cs="Times New Roman" w:eastAsia="Times New Roman" w:hAnsi="Times New Roman"/>
          <w:sz w:val="17"/>
          <w:szCs w:val="17"/>
          <w:b w:val="1"/>
          <w:bCs w:val="1"/>
          <w:i w:val="1"/>
          <w:iCs w:val="1"/>
          <w:color w:val="auto"/>
        </w:rPr>
        <w:t>The Optional Shares; Option Closing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addition, on the basis of the representations, warranties and agreements herein contained,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upon the terms but subject to the conditions herein set forth, the Company hereby grants an option to the several Underwriters to purchase, severally and not jointly, up to an aggregate of 1,185,101 Optional Shares from the Company at the purchase price per share to be paid by the Underwriters for the Firm Shares, less an amount per share equal to any dividend or distribution declared by the Company and payable on the Firm Shares but not payable on Optional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w:t>
      </w:r>
      <w:r>
        <w:rPr>
          <w:rFonts w:ascii="Times New Roman" w:cs="Times New Roman" w:eastAsia="Times New Roman" w:hAnsi="Times New Roman"/>
          <w:sz w:val="17"/>
          <w:szCs w:val="17"/>
          <w:b w:val="1"/>
          <w:bCs w:val="1"/>
          <w:color w:val="auto"/>
        </w:rPr>
        <w:t>First Closing Date</w:t>
      </w:r>
      <w:r>
        <w:rPr>
          <w:rFonts w:ascii="Times New Roman" w:cs="Times New Roman" w:eastAsia="Times New Roman" w:hAnsi="Times New Roman"/>
          <w:sz w:val="17"/>
          <w:szCs w:val="17"/>
          <w:color w:val="auto"/>
        </w:rPr>
        <w:t>” shall refer to the time and date of delivery of certificates for the Firm Shares and such Optional Shares). Any such time and date of delivery, if subsequent to the First Closing Date, is called an “</w:t>
      </w:r>
      <w:r>
        <w:rPr>
          <w:rFonts w:ascii="Times New Roman" w:cs="Times New Roman" w:eastAsia="Times New Roman" w:hAnsi="Times New Roman"/>
          <w:sz w:val="17"/>
          <w:szCs w:val="17"/>
          <w:b w:val="1"/>
          <w:bCs w:val="1"/>
          <w:color w:val="auto"/>
        </w:rPr>
        <w:t>Option Closing Date</w:t>
      </w:r>
      <w:r>
        <w:rPr>
          <w:rFonts w:ascii="Times New Roman" w:cs="Times New Roman" w:eastAsia="Times New Roman" w:hAnsi="Times New Roman"/>
          <w:sz w:val="17"/>
          <w:szCs w:val="17"/>
          <w:color w:val="auto"/>
        </w:rPr>
        <w:t xml:space="preserve">,” and shall be determined by the Representatives and shall not be earlier than one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opposite the name of such Underwriter bears to the total number of Firm Shares. The Representatives may cancel the option at any time prior to its expiration by giving written notice of such cancellation to the Company.</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Public Offering of the Offered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Representatives hereby advise the Company that the Underwriters intend to offer for sale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initially on the terms set forth in the Registration Statement, the Time of Sale Prospectus and the Prospectus, their respective portions of the Offered Shares as soon after this Agreement has been executed as the Representatives, in their sole judgment, have determined is advisable and practicable.</w:t>
      </w:r>
    </w:p>
    <w:p>
      <w:pPr>
        <w:spacing w:after="0" w:line="171"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b w:val="1"/>
          <w:bCs w:val="1"/>
          <w:i w:val="1"/>
          <w:iCs w:val="1"/>
          <w:color w:val="auto"/>
        </w:rPr>
        <w:t>Payment for the Offered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Payment for the Offered Shares to be sold by the Company shall be made at the First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if applicable, at each Option Closing Date) by wire transfer of immediately available funds to the order of the Company.</w:t>
      </w:r>
    </w:p>
    <w:p>
      <w:pPr>
        <w:spacing w:after="0" w:line="159"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(ii)            It is understood that the Representatives have been authorized, for their own respective accounts and the accounts of the several Underwriters, to accept delivery of and receipt for, and make payment of the purchase price for, the Firm Shares and any Optional Shares the Underwriters have agreed to purchase. Each of Jefferies LLC and Goldman Sachs &amp; Co. LLC, individually and not as a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(f)            </w:t>
      </w:r>
      <w:r>
        <w:rPr>
          <w:rFonts w:ascii="Times New Roman" w:cs="Times New Roman" w:eastAsia="Times New Roman" w:hAnsi="Times New Roman"/>
          <w:sz w:val="18"/>
          <w:szCs w:val="18"/>
          <w:b w:val="1"/>
          <w:bCs w:val="1"/>
          <w:i w:val="1"/>
          <w:iCs w:val="1"/>
          <w:color w:val="auto"/>
        </w:rPr>
        <w:t>Delivery of the Offered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deliver, or cause to be delivered to the Representatives for the accounts of the several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certificates for the Firm Shares at the First Closing Date, against release of a wire transfer of immediately available funds for the amount of the purchase price therefor. The Company shall also deliver, or cause to be delivered to the Representatives for the accounts of the several Underwriters, certificates for the Optional Shares the Underwriters have agreed to purchase at the First Closing Date or the applicable Option Closing Date, as the case may be, against the release of a wire transfer of immediately available funds for the amount of the purchase price therefor. If the Representatives so elect, delivery of the Offered Shares may be made by credit to the accounts designated by the Representatives through The Depository Trust Company’s full fast transfer or DWAC programs. If the Representatives so elect, the certificates for the Offered Shares shall be in definitive form and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3.            Additional Covenants of the Company. </w:t>
      </w:r>
      <w:r>
        <w:rPr>
          <w:rFonts w:ascii="Times New Roman" w:cs="Times New Roman" w:eastAsia="Times New Roman" w:hAnsi="Times New Roman"/>
          <w:sz w:val="18"/>
          <w:szCs w:val="18"/>
          <w:color w:val="auto"/>
        </w:rPr>
        <w:t>The Company further covenants and agrees with each Underwriter as follows:</w:t>
      </w:r>
    </w:p>
    <w:p>
      <w:pPr>
        <w:spacing w:after="0" w:line="225"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i w:val="1"/>
          <w:iCs w:val="1"/>
          <w:color w:val="auto"/>
        </w:rPr>
        <w:t>Delivery of Registration Statement, Time of Sale Prospectus and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furnish to you in New York 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17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i w:val="1"/>
          <w:iCs w:val="1"/>
          <w:color w:val="auto"/>
        </w:rPr>
        <w:t>Representatives’ Review of Proposed Amendments and Supplements.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period when a prospectus relating to the Offered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18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i w:val="1"/>
          <w:iCs w:val="1"/>
          <w:color w:val="auto"/>
        </w:rPr>
        <w:t>Free Writing Prospectuses.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furnish to the Representatives for review, a reasonable amount of time prior to the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amending or supplementing any such free writing prospectus, the Company shall furnish to the Representatives for review,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9" w:name="page20"/>
    <w:bookmarkEnd w:id="19"/>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Filing of Underwriter Free Writing Prospectuses.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take any action that would result in an Underwriter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7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b w:val="1"/>
          <w:bCs w:val="1"/>
          <w:i w:val="1"/>
          <w:iCs w:val="1"/>
          <w:color w:val="auto"/>
        </w:rPr>
        <w:t>Amendments and Supplements to Time of Sale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Time of Sale Prospectus is being used to solicit offers to buy the Offered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90"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17"/>
          <w:szCs w:val="17"/>
          <w:b w:val="1"/>
          <w:bCs w:val="1"/>
          <w:color w:val="auto"/>
        </w:rPr>
        <w:t>(f)            </w:t>
      </w:r>
      <w:r>
        <w:rPr>
          <w:rFonts w:ascii="Times New Roman" w:cs="Times New Roman" w:eastAsia="Times New Roman" w:hAnsi="Times New Roman"/>
          <w:sz w:val="17"/>
          <w:szCs w:val="17"/>
          <w:b w:val="1"/>
          <w:bCs w:val="1"/>
          <w:i w:val="1"/>
          <w:iCs w:val="1"/>
          <w:color w:val="auto"/>
        </w:rPr>
        <w:t>Certain Notifications and Required 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After the date of this Agreement, the Company shall promptly advise the Representatives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Offered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spacing w:after="0" w:line="17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(g)            </w:t>
      </w:r>
      <w:r>
        <w:rPr>
          <w:rFonts w:ascii="Times New Roman" w:cs="Times New Roman" w:eastAsia="Times New Roman" w:hAnsi="Times New Roman"/>
          <w:sz w:val="18"/>
          <w:szCs w:val="18"/>
          <w:b w:val="1"/>
          <w:bCs w:val="1"/>
          <w:i w:val="1"/>
          <w:iCs w:val="1"/>
          <w:color w:val="auto"/>
        </w:rPr>
        <w:t>Amendments and Supplements to the Prospectus and Other Securities Act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event shall occur or condition exist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0" w:name="page21"/>
    <w:bookmarkEnd w:id="20"/>
    <w:p>
      <w:pPr>
        <w:ind w:right="18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(h)            </w:t>
      </w:r>
      <w:r>
        <w:rPr>
          <w:rFonts w:ascii="Times New Roman" w:cs="Times New Roman" w:eastAsia="Times New Roman" w:hAnsi="Times New Roman"/>
          <w:sz w:val="18"/>
          <w:szCs w:val="18"/>
          <w:b w:val="1"/>
          <w:bCs w:val="1"/>
          <w:i w:val="1"/>
          <w:iCs w:val="1"/>
          <w:color w:val="auto"/>
        </w:rPr>
        <w:t>Blue Sky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cooperate with the Representatives and counsel for the Underwriters to qualify or register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Shares for sale under (or obtain exemptions from the application of) the state securities or blue sky laws of those jurisdictions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8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apply the net proceeds from the sale of the Offered Shares sold by it in the manner described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caption “Use of Proceeds” in the Registration Statement, the Time of Sale Prospectus and the Prospectus.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(j)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engage and maintain, at its expense, a registrar and transfer agent for the shares of Common Stock.</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(k)           </w:t>
      </w:r>
      <w:r>
        <w:rPr>
          <w:rFonts w:ascii="Times New Roman" w:cs="Times New Roman" w:eastAsia="Times New Roman" w:hAnsi="Times New Roman"/>
          <w:sz w:val="18"/>
          <w:szCs w:val="18"/>
          <w:b w:val="1"/>
          <w:bCs w:val="1"/>
          <w:i w:val="1"/>
          <w:iCs w:val="1"/>
          <w:color w:val="auto"/>
        </w:rPr>
        <w:t>Earnings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make generally available to its security holders and to the Representatives as soon as practicable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17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(l)            </w:t>
      </w:r>
      <w:r>
        <w:rPr>
          <w:rFonts w:ascii="Times New Roman" w:cs="Times New Roman" w:eastAsia="Times New Roman" w:hAnsi="Times New Roman"/>
          <w:sz w:val="18"/>
          <w:szCs w:val="18"/>
          <w:b w:val="1"/>
          <w:bCs w:val="1"/>
          <w:i w:val="1"/>
          <w:iCs w:val="1"/>
          <w:color w:val="auto"/>
        </w:rPr>
        <w:t>Continued Compliance with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comply with the Securities Act and the Exchange Act so as to permit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distribution of the Offered Shares as contemplated by this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          </w:t>
      </w: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use its best efforts to list, subject to notice of issuance, the Offered Shares on the Nasdaq.</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(n)           </w:t>
      </w:r>
      <w:r>
        <w:rPr>
          <w:rFonts w:ascii="Times New Roman" w:cs="Times New Roman" w:eastAsia="Times New Roman" w:hAnsi="Times New Roman"/>
          <w:sz w:val="18"/>
          <w:szCs w:val="18"/>
          <w:b w:val="1"/>
          <w:bCs w:val="1"/>
          <w:i w:val="1"/>
          <w:iCs w:val="1"/>
          <w:color w:val="auto"/>
        </w:rPr>
        <w:t>Company to Provide Copy of the Prospectus in Form That May be Downloaded from the Internet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requested by the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cause to be prepared and delivered, at its expense, within one business day from the effective date of this Agreement, to the Representatives an “</w:t>
      </w:r>
      <w:r>
        <w:rPr>
          <w:rFonts w:ascii="Times New Roman" w:cs="Times New Roman" w:eastAsia="Times New Roman" w:hAnsi="Times New Roman"/>
          <w:sz w:val="18"/>
          <w:szCs w:val="18"/>
          <w:b w:val="1"/>
          <w:bCs w:val="1"/>
          <w:color w:val="auto"/>
        </w:rPr>
        <w:t>electronic Prospectus</w:t>
      </w:r>
      <w:r>
        <w:rPr>
          <w:rFonts w:ascii="Times New Roman" w:cs="Times New Roman" w:eastAsia="Times New Roman" w:hAnsi="Times New Roman"/>
          <w:sz w:val="18"/>
          <w:szCs w:val="18"/>
          <w:color w:val="auto"/>
        </w:rPr>
        <w:t>” to be used by the Underwriters in connection with the offering and sale of the Offered Shares. As used herein, the term “</w:t>
      </w:r>
      <w:r>
        <w:rPr>
          <w:rFonts w:ascii="Times New Roman" w:cs="Times New Roman" w:eastAsia="Times New Roman" w:hAnsi="Times New Roman"/>
          <w:sz w:val="18"/>
          <w:szCs w:val="18"/>
          <w:b w:val="1"/>
          <w:bCs w:val="1"/>
          <w:color w:val="auto"/>
        </w:rPr>
        <w:t>electronic Prospectus</w:t>
      </w:r>
      <w:r>
        <w:rPr>
          <w:rFonts w:ascii="Times New Roman" w:cs="Times New Roman" w:eastAsia="Times New Roman" w:hAnsi="Times New Roman"/>
          <w:sz w:val="18"/>
          <w:szCs w:val="18"/>
          <w:color w:val="auto"/>
        </w:rPr>
        <w:t>”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(o)            </w:t>
      </w:r>
      <w:r>
        <w:rPr>
          <w:rFonts w:ascii="Times New Roman" w:cs="Times New Roman" w:eastAsia="Times New Roman" w:hAnsi="Times New Roman"/>
          <w:sz w:val="17"/>
          <w:szCs w:val="17"/>
          <w:b w:val="1"/>
          <w:bCs w:val="1"/>
          <w:i w:val="1"/>
          <w:iCs w:val="1"/>
          <w:color w:val="auto"/>
        </w:rPr>
        <w:t>Agreement Not to Offer or Sell Additional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period commencing on and including the date hereof and continuing through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including the 45th day following the date of the Prospectus (such period, as extended as described below, being referred to herein as the “</w:t>
      </w:r>
      <w:r>
        <w:rPr>
          <w:rFonts w:ascii="Times New Roman" w:cs="Times New Roman" w:eastAsia="Times New Roman" w:hAnsi="Times New Roman"/>
          <w:sz w:val="17"/>
          <w:szCs w:val="17"/>
          <w:b w:val="1"/>
          <w:bCs w:val="1"/>
          <w:color w:val="auto"/>
        </w:rPr>
        <w:t>Lock-up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Period</w:t>
      </w:r>
      <w:r>
        <w:rPr>
          <w:rFonts w:ascii="Times New Roman" w:cs="Times New Roman" w:eastAsia="Times New Roman" w:hAnsi="Times New Roman"/>
          <w:sz w:val="17"/>
          <w:szCs w:val="17"/>
          <w:color w:val="auto"/>
        </w:rPr>
        <w:t>”), the Company will not, without the prior written consent of the Representatives (which consent may be withheld in their sole discretion), directly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indirectly: (i) sell, offer to sell, contract to sell or lend any shares of Common Stock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of Common Stock or Related Securities; (iii) pledge, hypothecate or grant any security interest in any shares of Common Stock or Related Securities; (iv) in any other way transfer or dispose of any shares of Common Stock or Related Securities; (v) enter into any swap, hedge or similar arrangement or agreement that transfers, in whole or in part, the economic risk of ownership of any shares of Common Stock or Related Securities, regardless of whether any such transaction is to be settled in securities, in cash or otherwise;</w:t>
      </w:r>
    </w:p>
    <w:p>
      <w:pPr>
        <w:spacing w:after="0" w:line="2" w:lineRule="exact"/>
        <w:rPr>
          <w:sz w:val="20"/>
          <w:szCs w:val="20"/>
          <w:color w:val="auto"/>
        </w:rPr>
      </w:pPr>
    </w:p>
    <w:p>
      <w:pPr>
        <w:ind w:right="160" w:firstLine="8"/>
        <w:spacing w:after="0" w:line="250"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the offering of any shares of Common Stock or Related Securities; (vii) submit or file any registration statement under the Securities Act in respect of any shares of Common Stock or Related Securities (other than as contemplated by this Agreement with respect to the Offered Shares);</w:t>
      </w:r>
    </w:p>
    <w:p>
      <w:pPr>
        <w:ind w:right="40" w:firstLine="8"/>
        <w:spacing w:after="0" w:line="265" w:lineRule="auto"/>
        <w:tabs>
          <w:tab w:leader="none" w:pos="40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 a reverse stock split, recapitalization, share consolidation, reclassification or similar transaction affecting the outstanding shares of Common Stock; or (ix) publicly announce the intention to do any of the foregoing;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Company may (A) effect the transactions contemplated hereby, (B) issue shares of Common Stock or options to purchase shares of Common Stock, or issue shares of Common Stock upon exercise of options, pursuant to any stock option, stock bonus or other stock plan or arrangement described in the Registration Statement, the Time of Sale Prospectus and the Prospectus, but only if the holders of such shares of Common Stock or options who are directors or executive officers of the Company agree in writing with the Underwriters not to sell, offer, dispose of or otherwise transfer any such shares of Common Stock or options during such Lock-up Period without the prior written consent of the Representatives (which consent may be withheld in its sole discretion), (C) issue or sell shares of Common Stock or enter into an agreement to issue or sell shares of Common Stock in connection with any (1) mergers, (2) acquisition of securities, businesses, property or other assets, (3) joint ventures, or (4) collaborations, licensing or strategic alliances;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aggregate number of shares of Common Stock (on as-converted or as-exercised basis, as the case may be) that the Company may sell or issue or agree to sell or issue pursuant to clause (C) in this Section 3(o), in each case, shall not exceed 5% of the total number of shares of the Company’s shares of Common Stock issued and outstanding immediately following the completion of the transaction contemplated by this Agreement, (D) issue and sell shares of Common Stock pursuant to the Open</w:t>
      </w:r>
    </w:p>
    <w:p>
      <w:pPr>
        <w:spacing w:after="0" w:line="2" w:lineRule="exact"/>
        <w:rPr>
          <w:sz w:val="20"/>
          <w:szCs w:val="20"/>
          <w:color w:val="auto"/>
        </w:rPr>
      </w:pPr>
    </w:p>
    <w:p>
      <w:pPr>
        <w:jc w:val="both"/>
        <w:ind w:right="120"/>
        <w:spacing w:after="0" w:line="221" w:lineRule="auto"/>
        <w:rPr>
          <w:sz w:val="20"/>
          <w:szCs w:val="20"/>
          <w:color w:val="auto"/>
        </w:rPr>
      </w:pPr>
      <w:r>
        <w:rPr>
          <w:rFonts w:ascii="Times New Roman" w:cs="Times New Roman" w:eastAsia="Times New Roman" w:hAnsi="Times New Roman"/>
          <w:sz w:val="18"/>
          <w:szCs w:val="18"/>
          <w:color w:val="auto"/>
        </w:rPr>
        <w:t>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entered into on August 6, 2024, by and between the Company and Jefferies (the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 in place as of the date of this Agreement, (E) if the prospectus supplement, August 6, 2024, relating to the Sales Agreement is terminated in connection with this offering, the filing of a prospectus supplement to the Registration Statement (File No. 333-281318) on or after the ATM Lockup Expiration (as defined below), and</w:t>
      </w:r>
    </w:p>
    <w:p>
      <w:pPr>
        <w:ind w:right="160" w:firstLine="8"/>
        <w:spacing w:after="0" w:line="252"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shares of Common Stock pursuant to the conversion or exchange of convertible or exchangeable securities (including cashless or “net” exercises); provided further, and notwithstanding anything to the contrary in this paragraph, that in the case of clauses (D) and (E) no such sales may be made prior to the earlier of 30 days from the date of the Prospectus and the final Option Closing Date relating to the aggregate of the Optional Shares (the “</w:t>
      </w:r>
      <w:r>
        <w:rPr>
          <w:rFonts w:ascii="Times New Roman" w:cs="Times New Roman" w:eastAsia="Times New Roman" w:hAnsi="Times New Roman"/>
          <w:sz w:val="18"/>
          <w:szCs w:val="18"/>
          <w:b w:val="1"/>
          <w:bCs w:val="1"/>
          <w:color w:val="auto"/>
        </w:rPr>
        <w:t>ATM Lockup Expiration</w:t>
      </w:r>
      <w:r>
        <w:rPr>
          <w:rFonts w:ascii="Times New Roman" w:cs="Times New Roman" w:eastAsia="Times New Roman" w:hAnsi="Times New Roman"/>
          <w:sz w:val="18"/>
          <w:szCs w:val="18"/>
          <w:color w:val="auto"/>
        </w:rPr>
        <w:t>”). For purposes of the foregoing, “</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shares of Common Stock or any securities exchangeable or exercisable for or convertible into shares of Common Stock, or to acquire other securities or rights ultimately exchangeable or exercisable for, or convertible into, shares of Common Stock.</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right="1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(p)            </w:t>
      </w:r>
      <w:r>
        <w:rPr>
          <w:rFonts w:ascii="Times New Roman" w:cs="Times New Roman" w:eastAsia="Times New Roman" w:hAnsi="Times New Roman"/>
          <w:sz w:val="18"/>
          <w:szCs w:val="18"/>
          <w:b w:val="1"/>
          <w:bCs w:val="1"/>
          <w:i w:val="1"/>
          <w:iCs w:val="1"/>
          <w:color w:val="auto"/>
        </w:rPr>
        <w:t>Future Reports to the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period of five years hereafter, the Company will furnish to the Representatives, 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Jefferies LLC, at 520 Madison Avenue, New York, New York 10022, Attention: Global Head of Syndicate and c/o Goldman Sachs &amp; Co. LLC, 200 West Street, New York, New York 10282-2198, Attention: Registration Department: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requirements of this Section 3(p) shall be satisfied to the extent that such reports, statement, communications, financial statements or other documents are available on EDGAR.</w:t>
      </w:r>
    </w:p>
    <w:p>
      <w:pPr>
        <w:spacing w:after="0" w:line="185" w:lineRule="exact"/>
        <w:rPr>
          <w:sz w:val="20"/>
          <w:szCs w:val="20"/>
          <w:color w:val="auto"/>
        </w:rPr>
      </w:pPr>
    </w:p>
    <w:p>
      <w:pPr>
        <w:ind w:right="60"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(q)            </w:t>
      </w:r>
      <w:r>
        <w:rPr>
          <w:rFonts w:ascii="Times New Roman" w:cs="Times New Roman" w:eastAsia="Times New Roman" w:hAnsi="Times New Roman"/>
          <w:sz w:val="17"/>
          <w:szCs w:val="17"/>
          <w:b w:val="1"/>
          <w:bCs w:val="1"/>
          <w:i w:val="1"/>
          <w:iCs w:val="1"/>
          <w:color w:val="auto"/>
        </w:rPr>
        <w:t>Investment Limitation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shall not invest or otherwise use the proceeds received by the Company from its sale of the Offered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in such a manner as would require the Company or any of its subsidiaries to register as an investment company under the Investment Company Act.</w:t>
      </w:r>
    </w:p>
    <w:p>
      <w:pPr>
        <w:spacing w:after="0" w:line="132"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(r)            </w:t>
      </w:r>
      <w:r>
        <w:rPr>
          <w:rFonts w:ascii="Times New Roman" w:cs="Times New Roman" w:eastAsia="Times New Roman" w:hAnsi="Times New Roman"/>
          <w:sz w:val="18"/>
          <w:szCs w:val="18"/>
          <w:b w:val="1"/>
          <w:bCs w:val="1"/>
          <w:i w:val="1"/>
          <w:iCs w:val="1"/>
          <w:color w:val="auto"/>
        </w:rPr>
        <w:t>No Stabilization or Manipulation; Compliance with Regulation 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not take, and will ensure that no affiliate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take, directly or indirectly, any action designed to or that might cause or result in stabilization or manipulation of the price of the shares of Common Stock or any reference security with respect to the shares of Common Stock, whether to facilitate the sale or resale of the Offered Shares or otherwise, and the Company will, and shall cause each of its affiliates to, comply with all applicable provisions of Regulation M.</w:t>
      </w:r>
    </w:p>
    <w:p>
      <w:pPr>
        <w:spacing w:after="0" w:line="176"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            </w:t>
      </w:r>
      <w:r>
        <w:rPr>
          <w:rFonts w:ascii="Times New Roman" w:cs="Times New Roman" w:eastAsia="Times New Roman" w:hAnsi="Times New Roman"/>
          <w:sz w:val="18"/>
          <w:szCs w:val="18"/>
          <w:b w:val="1"/>
          <w:bCs w:val="1"/>
          <w:i w:val="1"/>
          <w:iCs w:val="1"/>
          <w:color w:val="auto"/>
        </w:rPr>
        <w:t>Enforce Lock-Up Agreements</w:t>
      </w:r>
      <w:r>
        <w:rPr>
          <w:rFonts w:ascii="Times New Roman" w:cs="Times New Roman" w:eastAsia="Times New Roman" w:hAnsi="Times New Roman"/>
          <w:sz w:val="18"/>
          <w:szCs w:val="18"/>
          <w:color w:val="auto"/>
        </w:rPr>
        <w:t>. During the Lock-up Period, the Company will enforce all agreements between the Company and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securityholders that restrict or prohibit, expressly or in operation, the offer, sale or transfer of shares of Common Stock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pursuant to Section 6 hereof.</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Representatives, on behalf of the several Underwriters, may, in their sole discretion, waive in writing the performance by the Company of any one or more of the foregoing covenants or extend the time for their performance.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firstLine="1296"/>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4.            Payment of Expenses. </w:t>
      </w:r>
      <w:r>
        <w:rPr>
          <w:rFonts w:ascii="Times New Roman" w:cs="Times New Roman" w:eastAsia="Times New Roman" w:hAnsi="Times New Roman"/>
          <w:sz w:val="17"/>
          <w:szCs w:val="17"/>
          <w:color w:val="auto"/>
        </w:rPr>
        <w:t>The Company agrees to pay all costs, fees and expenses incurred in connection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of 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of Common Stock, (iii) all necessary issue, transfer and other stamp taxes in connection with the issuance and sale of the Offered Securities to the Underwriters, (iv) all fees and expenses of the Company’s counsel, independent public or certified public accountants and other advisors (including filing fees and the reasonably incurred and documented fees and expenses of counsel for the Underwriters relating to such review up to $20,000),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w:t>
      </w:r>
      <w:r>
        <w:rPr>
          <w:rFonts w:ascii="Times New Roman" w:cs="Times New Roman" w:eastAsia="Times New Roman" w:hAnsi="Times New Roman"/>
          <w:sz w:val="17"/>
          <w:szCs w:val="17"/>
          <w:b w:val="1"/>
          <w:bCs w:val="1"/>
          <w:color w:val="auto"/>
        </w:rPr>
        <w:t>,</w:t>
      </w:r>
    </w:p>
    <w:p>
      <w:pPr>
        <w:ind w:right="40" w:firstLine="8"/>
        <w:spacing w:after="0" w:line="250" w:lineRule="auto"/>
        <w:tabs>
          <w:tab w:leader="none" w:pos="4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of the Company relating to investor presentations on any “road show”,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the cost of any aircraft chartered in connection with the road show,</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associated with listing the Offered Shares on the Nasdaq, and (x) all other fees, costs and expenses of the nature referred to in</w:t>
      </w:r>
    </w:p>
    <w:p>
      <w:pPr>
        <w:spacing w:after="0" w:line="9"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14 of Part II of the Registration Statement. Except as provided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 or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 hereof, the Underwriters shall pay their own expenses, including the fees and disbursements of their counsel.</w:t>
      </w:r>
    </w:p>
    <w:p>
      <w:pPr>
        <w:spacing w:after="0" w:line="177" w:lineRule="exact"/>
        <w:rPr>
          <w:sz w:val="20"/>
          <w:szCs w:val="20"/>
          <w:color w:val="auto"/>
        </w:rPr>
      </w:pPr>
    </w:p>
    <w:p>
      <w:pPr>
        <w:ind w:right="18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            Covenant of the Underwriters. </w:t>
      </w:r>
      <w:r>
        <w:rPr>
          <w:rFonts w:ascii="Times New Roman" w:cs="Times New Roman" w:eastAsia="Times New Roman" w:hAnsi="Times New Roman"/>
          <w:sz w:val="18"/>
          <w:szCs w:val="18"/>
          <w:color w:val="auto"/>
        </w:rPr>
        <w:t>Each Underwriter severally and not jointly covenants with the Company not to take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76"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            Conditions of the Obligations of the Underwriters. </w:t>
      </w:r>
      <w:r>
        <w:rPr>
          <w:rFonts w:ascii="Times New Roman" w:cs="Times New Roman" w:eastAsia="Times New Roman" w:hAnsi="Times New Roman"/>
          <w:sz w:val="18"/>
          <w:szCs w:val="18"/>
          <w:color w:val="auto"/>
        </w:rPr>
        <w:t>The respective obligations of the several Underwriters hereunder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 and pay for the Offered Shares as provided herein on the First Closing Date and, with respect to the Optional Shares, each Option Closing Date, shall be subject to the accuracy of the representations and warranties on the part of the Company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4" w:name="page25"/>
    <w:bookmarkEnd w:id="24"/>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i w:val="1"/>
          <w:iCs w:val="1"/>
          <w:color w:val="auto"/>
        </w:rPr>
        <w:t>Comfort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hereof, the Representatives shall have received from PricewaterhouseCoopers LLP, independent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179"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i w:val="1"/>
          <w:iCs w:val="1"/>
          <w:color w:val="auto"/>
        </w:rPr>
        <w:t>Compliance with Registration Requirements; No Stop Order; No Objection from FINRA.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period from and after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through and including the First Closing Date and, with respect to any Optional Shares purchased after the First Closing Date, each Option Closing Date:</w:t>
      </w:r>
    </w:p>
    <w:p>
      <w:pPr>
        <w:spacing w:after="0" w:line="175" w:lineRule="exact"/>
        <w:rPr>
          <w:sz w:val="20"/>
          <w:szCs w:val="20"/>
          <w:color w:val="auto"/>
        </w:rPr>
      </w:pPr>
    </w:p>
    <w:p>
      <w:pPr>
        <w:ind w:right="240" w:firstLine="1296"/>
        <w:spacing w:after="0" w:line="261" w:lineRule="auto"/>
        <w:rPr>
          <w:sz w:val="20"/>
          <w:szCs w:val="20"/>
          <w:color w:val="auto"/>
        </w:rPr>
      </w:pPr>
      <w:r>
        <w:rPr>
          <w:rFonts w:ascii="Times New Roman" w:cs="Times New Roman" w:eastAsia="Times New Roman" w:hAnsi="Times New Roman"/>
          <w:sz w:val="18"/>
          <w:szCs w:val="18"/>
          <w:color w:val="auto"/>
        </w:rPr>
        <w:t>(i)             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such Rule 430B, and such post-effective amendment shall have become effective.</w:t>
      </w:r>
    </w:p>
    <w:p>
      <w:pPr>
        <w:spacing w:after="0" w:line="180"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auto"/>
        </w:rPr>
        <w:t>(ii)            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62" w:lineRule="exact"/>
        <w:rPr>
          <w:sz w:val="20"/>
          <w:szCs w:val="20"/>
          <w:color w:val="auto"/>
        </w:rPr>
      </w:pPr>
    </w:p>
    <w:p>
      <w:pPr>
        <w:ind w:right="880" w:firstLine="1296"/>
        <w:spacing w:after="0" w:line="282" w:lineRule="auto"/>
        <w:rPr>
          <w:sz w:val="20"/>
          <w:szCs w:val="20"/>
          <w:color w:val="auto"/>
        </w:rPr>
      </w:pPr>
      <w:r>
        <w:rPr>
          <w:rFonts w:ascii="Times New Roman" w:cs="Times New Roman" w:eastAsia="Times New Roman" w:hAnsi="Times New Roman"/>
          <w:sz w:val="18"/>
          <w:szCs w:val="18"/>
          <w:color w:val="auto"/>
        </w:rPr>
        <w:t>(iii)           If a filing has been made with FINRA, FINRA shall have raised no objection to the fairness and reasonableness of the underwriting terms and arrangements.</w:t>
      </w:r>
    </w:p>
    <w:p>
      <w:pPr>
        <w:spacing w:after="0" w:line="158"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i w:val="1"/>
          <w:iCs w:val="1"/>
          <w:color w:val="auto"/>
        </w:rPr>
        <w:t>No Material Adverse Change or Ratings Agency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period from and after the date of this Agreement and through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First Closing Date and, with respect to any Optional Shares purchased after the First Closing Date, each Option Closing Date: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in the judgment of the Representatives there shall not have occurred any Material Adverse Change; and</w:t>
      </w:r>
    </w:p>
    <w:p>
      <w:pPr>
        <w:spacing w:after="0" w:line="225" w:lineRule="exact"/>
        <w:rPr>
          <w:sz w:val="20"/>
          <w:szCs w:val="20"/>
          <w:color w:val="auto"/>
        </w:rPr>
      </w:pPr>
    </w:p>
    <w:p>
      <w:pPr>
        <w:jc w:val="both"/>
        <w:ind w:right="60" w:firstLine="1296"/>
        <w:spacing w:after="0" w:line="289" w:lineRule="auto"/>
        <w:rPr>
          <w:sz w:val="20"/>
          <w:szCs w:val="20"/>
          <w:color w:val="auto"/>
        </w:rPr>
      </w:pPr>
      <w:r>
        <w:rPr>
          <w:rFonts w:ascii="Times New Roman" w:cs="Times New Roman" w:eastAsia="Times New Roman" w:hAnsi="Times New Roman"/>
          <w:sz w:val="17"/>
          <w:szCs w:val="17"/>
          <w:color w:val="auto"/>
        </w:rPr>
        <w:t>(ii)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spacing w:after="0" w:line="154" w:lineRule="exact"/>
        <w:rPr>
          <w:sz w:val="20"/>
          <w:szCs w:val="20"/>
          <w:color w:val="auto"/>
        </w:rPr>
      </w:pPr>
    </w:p>
    <w:p>
      <w:pPr>
        <w:jc w:val="both"/>
        <w:ind w:right="3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Opinion of Counsel for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the opinion and negative assurance letter of Latham and Watkins LLP, counsel for the Company, dated as of such date, in form and substance reasonably satisfactory to the Representatives.</w:t>
      </w:r>
    </w:p>
    <w:p>
      <w:pPr>
        <w:spacing w:after="0" w:line="171" w:lineRule="exact"/>
        <w:rPr>
          <w:sz w:val="20"/>
          <w:szCs w:val="20"/>
          <w:color w:val="auto"/>
        </w:rPr>
      </w:pPr>
    </w:p>
    <w:p>
      <w:pPr>
        <w:jc w:val="both"/>
        <w:ind w:right="7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b w:val="1"/>
          <w:bCs w:val="1"/>
          <w:i w:val="1"/>
          <w:iCs w:val="1"/>
          <w:color w:val="auto"/>
        </w:rPr>
        <w:t>Opinion of Intellectual Property Counsel for the Company</w:t>
      </w:r>
      <w:r>
        <w:rPr>
          <w:rFonts w:ascii="Times New Roman" w:cs="Times New Roman" w:eastAsia="Times New Roman" w:hAnsi="Times New Roman"/>
          <w:sz w:val="18"/>
          <w:szCs w:val="18"/>
          <w:color w:val="auto"/>
        </w:rPr>
        <w:t>. On each of the First Closing Date and each Option Closing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shall have received the opinion of Mintz, Levin, Cohn, Ferris, Glovsky and Popeo, P.C., counsel for the Company with respect to intellectual property, dated as of such date, in form and substance reasonably satisfactory to the Representatives.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5" w:name="page26"/>
    <w:bookmarkEnd w:id="25"/>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            </w:t>
      </w:r>
      <w:r>
        <w:rPr>
          <w:rFonts w:ascii="Times New Roman" w:cs="Times New Roman" w:eastAsia="Times New Roman" w:hAnsi="Times New Roman"/>
          <w:sz w:val="18"/>
          <w:szCs w:val="18"/>
          <w:b w:val="1"/>
          <w:bCs w:val="1"/>
          <w:i w:val="1"/>
          <w:iCs w:val="1"/>
          <w:color w:val="auto"/>
        </w:rPr>
        <w:t>Opinion of Counsel for the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the opinion and negative assurance letter of Paul Hastings LLP, counsel for the Underwriters in connection with the offer and sale of the Offered Shares, in form and substance satisfactory to the Underwriters, dated as of such date, with executed copies for each of the other Underwriters named on the Prospectus cover page.</w:t>
      </w:r>
    </w:p>
    <w:p>
      <w:pPr>
        <w:spacing w:after="0" w:line="176"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            </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 received a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the Chief Executive Officer or President of the Company and the Chief Financial Officer of the Company, dated as of such date, to the effect set forth in ‎Section 6(b)(ii) and further to the effect that: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for the period from and including the date of this Agreement through and including such date, there has not occurred any Material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Change;</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(ii)            the representations, warranties and covenants of the Company set forth in Section 1 of this Agreement are true and correct with the same force and effect as though expressly made on and as of such date; and</w:t>
      </w:r>
    </w:p>
    <w:p>
      <w:pPr>
        <w:spacing w:after="0" w:line="162"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auto"/>
        </w:rPr>
        <w:t>(iii)            the Company has complied with all the agreements hereunder and satisfied all the conditions on its part to be performed or satisfied hereunder at or prior to such date.</w:t>
      </w:r>
    </w:p>
    <w:p>
      <w:pPr>
        <w:spacing w:after="0" w:line="158"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(h)           </w:t>
      </w: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 received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PricewaterhouseCoopers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79"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b w:val="1"/>
          <w:bCs w:val="1"/>
          <w:i w:val="1"/>
          <w:iCs w:val="1"/>
          <w:color w:val="auto"/>
        </w:rPr>
        <w:t>Lock-Up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prior to the date hereof, the Company shall have furnished to the Representatives an agreement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from each of the persons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each such agreement shall be in full force and effect on each of the First Closing Date and each Option Closing Date.</w:t>
      </w:r>
    </w:p>
    <w:p>
      <w:pPr>
        <w:spacing w:after="0" w:line="171"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(j)            </w:t>
      </w:r>
      <w:r>
        <w:rPr>
          <w:rFonts w:ascii="Times New Roman" w:cs="Times New Roman" w:eastAsia="Times New Roman" w:hAnsi="Times New Roman"/>
          <w:sz w:val="18"/>
          <w:szCs w:val="18"/>
          <w:b w:val="1"/>
          <w:bCs w:val="1"/>
          <w:i w:val="1"/>
          <w:iCs w:val="1"/>
          <w:color w:val="auto"/>
        </w:rPr>
        <w:t>Rule 462(b) Registration Statement</w:t>
      </w:r>
      <w:r>
        <w:rPr>
          <w:rFonts w:ascii="Times New Roman" w:cs="Times New Roman" w:eastAsia="Times New Roman" w:hAnsi="Times New Roman"/>
          <w:sz w:val="18"/>
          <w:szCs w:val="18"/>
          <w:color w:val="auto"/>
        </w:rPr>
        <w:t>. In the event that a Rule 462(b) Registration Statement is filed in connection with the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71"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(k)           </w:t>
      </w:r>
      <w:r>
        <w:rPr>
          <w:rFonts w:ascii="Times New Roman" w:cs="Times New Roman" w:eastAsia="Times New Roman" w:hAnsi="Times New Roman"/>
          <w:sz w:val="18"/>
          <w:szCs w:val="18"/>
          <w:b w:val="1"/>
          <w:bCs w:val="1"/>
          <w:i w:val="1"/>
          <w:iCs w:val="1"/>
          <w:color w:val="auto"/>
        </w:rPr>
        <w:t>CFO Certificate</w:t>
      </w:r>
      <w:r>
        <w:rPr>
          <w:rFonts w:ascii="Times New Roman" w:cs="Times New Roman" w:eastAsia="Times New Roman" w:hAnsi="Times New Roman"/>
          <w:sz w:val="18"/>
          <w:szCs w:val="18"/>
          <w:color w:val="auto"/>
        </w:rPr>
        <w:t>. On the date of this Agreement and on the First Closing Date or the applicable Option Closing Date, as the case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have furnished to the Representatives a certificate, dated the respective dates of delivery thereof and addressed to the Underwriters, of its chief financial officer with respect to certain financial data contained in the Time of Sale Prospectus and the Prospectus, providing “management comfort” with respect to such information, in form and substance reasonably satisfactory to the Representatives.</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(l)            </w:t>
      </w:r>
      <w:r>
        <w:rPr>
          <w:rFonts w:ascii="Times New Roman" w:cs="Times New Roman" w:eastAsia="Times New Roman" w:hAnsi="Times New Roman"/>
          <w:sz w:val="18"/>
          <w:szCs w:val="18"/>
          <w:b w:val="1"/>
          <w:bCs w:val="1"/>
          <w:i w:val="1"/>
          <w:iCs w:val="1"/>
          <w:color w:val="auto"/>
        </w:rPr>
        <w:t>Additional Documents</w:t>
      </w:r>
      <w:r>
        <w:rPr>
          <w:rFonts w:ascii="Times New Roman" w:cs="Times New Roman" w:eastAsia="Times New Roman" w:hAnsi="Times New Roman"/>
          <w:sz w:val="18"/>
          <w:szCs w:val="18"/>
          <w:color w:val="auto"/>
        </w:rPr>
        <w:t>. On or before each of the First Closing Date and each Option Closing Date, the Representatives and counsel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6" w:name="page27"/>
    <w:bookmarkEnd w:id="26"/>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6 is not satisfied when and as required to be satisfied, this Agreement may be terminated by the Representatives by notice from Jefferies LLC and Goldman Sachs &amp; Co. LLC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76"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Section 7.            Reimbursement of Underwriters’ Expenses</w:t>
      </w:r>
      <w:r>
        <w:rPr>
          <w:rFonts w:ascii="Times New Roman" w:cs="Times New Roman" w:eastAsia="Times New Roman" w:hAnsi="Times New Roman"/>
          <w:sz w:val="18"/>
          <w:szCs w:val="18"/>
          <w:color w:val="auto"/>
        </w:rPr>
        <w:t>. If this Agreement is terminated by the Representatives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11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8.            Effectiveness of this Agreement</w:t>
      </w:r>
      <w:r>
        <w:rPr>
          <w:rFonts w:ascii="Times New Roman" w:cs="Times New Roman" w:eastAsia="Times New Roman" w:hAnsi="Times New Roman"/>
          <w:sz w:val="18"/>
          <w:szCs w:val="18"/>
          <w:color w:val="auto"/>
        </w:rPr>
        <w:t>. This Agreement shall become effective upon the execution and delivery hereof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9.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i w:val="1"/>
          <w:iCs w:val="1"/>
          <w:color w:val="auto"/>
        </w:rPr>
        <w:t>Indemnification of the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indemnify and hold harmless each Underwriter, its affiliates,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Offered Shares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right="80" w:firstLine="648"/>
        <w:spacing w:after="0" w:line="269" w:lineRule="auto"/>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b w:val="1"/>
          <w:bCs w:val="1"/>
          <w:i w:val="1"/>
          <w:iCs w:val="1"/>
          <w:color w:val="auto"/>
        </w:rPr>
        <w:t>Indemnification of the Company, its Directors and Officers</w:t>
      </w:r>
      <w:r>
        <w:rPr>
          <w:rFonts w:ascii="Times New Roman" w:cs="Times New Roman" w:eastAsia="Times New Roman" w:hAnsi="Times New Roman"/>
          <w:sz w:val="17"/>
          <w:szCs w:val="17"/>
          <w:color w:val="auto"/>
        </w:rPr>
        <w:t>. Each Underwriter agrees, severally and not jointly, to indemnify and hold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w:t>
      </w:r>
    </w:p>
    <w:p>
      <w:pPr>
        <w:spacing w:after="0" w:line="4" w:lineRule="exact"/>
        <w:rPr>
          <w:sz w:val="20"/>
          <w:szCs w:val="20"/>
          <w:color w:val="auto"/>
        </w:rPr>
      </w:pPr>
    </w:p>
    <w:p>
      <w:pPr>
        <w:ind w:firstLine="8"/>
        <w:spacing w:after="0" w:line="250"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or the Prospectus (or any amendment or supplement to the foregoing) are the concession figures appearing in the first sentence of the fifth paragraph under the caption “Underwriting” and the information contained in the first sentence of the fourteenth paragraph under the caption “Underwriting—Stabilization” in the Preliminary Prospectus Supplement and the Final Prospectus</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 The indemnity agreement set forth in this Section‎ 9(b) shall be in addition to any liabilities that each Underwriter may otherwise have.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8" w:name="page29"/>
    <w:bookmarkEnd w:id="28"/>
    <w:p>
      <w:pPr>
        <w:ind w:right="4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i w:val="1"/>
          <w:iCs w:val="1"/>
          <w:color w:val="auto"/>
        </w:rPr>
        <w:t>Notifications and Other Indemnification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after receipt by an indemnified party under this ‎Section 9 of notice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i w:val="1"/>
          <w:iCs w:val="1"/>
          <w:color w:val="auto"/>
        </w:rPr>
        <w:t>Settlements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indemnifying party under this Section‎ 9 shall not be liable for any settlement of any proceeding effected without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right="20"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Section 10.          Contribution</w:t>
      </w:r>
      <w:r>
        <w:rPr>
          <w:rFonts w:ascii="Times New Roman" w:cs="Times New Roman" w:eastAsia="Times New Roman" w:hAnsi="Times New Roman"/>
          <w:sz w:val="18"/>
          <w:szCs w:val="18"/>
          <w:color w:val="auto"/>
        </w:rPr>
        <w:t>. If the indemnification provided for in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 is for any reason held to be unavailable to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99"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w:t>
      </w: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investigating or defending any action or claim. The provisions set forth in Section‎ 9(c) with respect to notice of commencement of any action shall apply if a claim for contribution is to be made under this ‎Section 10;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notice shall be required with respect to any action for which notice has been given under Section 9(c) for purposes of indemnification.</w:t>
      </w:r>
    </w:p>
    <w:p>
      <w:pPr>
        <w:spacing w:after="0" w:line="18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76"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w:t>
      </w:r>
    </w:p>
    <w:p>
      <w:pPr>
        <w:spacing w:after="0" w:line="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Section 11.          Default of One or More of the Several Underwriters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 the First Closing Date or any Option Closing Date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9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9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1"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Section 12.          Termination of this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purchase of the Offered Shares by the Underwriters on the First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this Agreement may be terminated by the Representatives by notice given to the Company if at any time: (i) trading or quotation in any of the Company’s securities shall have been suspended or limited by the Commission or by the Nasdaq, or trading in securities generally on either the Nasdaq or the New York Stock Exchange shall have been suspended or limited, or minimum or maximum prices shall have been generally established on any of such stock exchanges; (ii) a general banking moratorium shall have been declared by any of federal or New York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12 shall be without liability on the part of (a) the Company to any Underwriter, except that the Company shall be obligated to reimburse the expenses of the Representatives</w:t>
      </w:r>
    </w:p>
    <w:p>
      <w:pPr>
        <w:spacing w:after="0" w:line="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and the Underwriters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 hereof or (b) any Underwriter to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10 shall at all times be effective and shall survive such termination.</w:t>
      </w: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1" w:name="page32"/>
    <w:bookmarkEnd w:id="31"/>
    <w:p>
      <w:pPr>
        <w:ind w:right="80"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13.          No Advisory or Fiduciary Relationship. </w:t>
      </w:r>
      <w:r>
        <w:rPr>
          <w:rFonts w:ascii="Times New Roman" w:cs="Times New Roman" w:eastAsia="Times New Roman" w:hAnsi="Times New Roman"/>
          <w:sz w:val="18"/>
          <w:szCs w:val="18"/>
          <w:color w:val="auto"/>
        </w:rPr>
        <w:t>The Company acknowledges and agrees that (a) the purchase and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82" w:lineRule="exact"/>
        <w:rPr>
          <w:sz w:val="20"/>
          <w:szCs w:val="20"/>
          <w:color w:val="auto"/>
        </w:rPr>
      </w:pPr>
    </w:p>
    <w:p>
      <w:pPr>
        <w:ind w:right="8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Section 14.          Representations and Indemnities to Survive Delivery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indemnities, agreements,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79"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Section 15.         Notices</w:t>
      </w:r>
      <w:r>
        <w:rPr>
          <w:rFonts w:ascii="Times New Roman" w:cs="Times New Roman" w:eastAsia="Times New Roman" w:hAnsi="Times New Roman"/>
          <w:sz w:val="18"/>
          <w:szCs w:val="18"/>
          <w:color w:val="auto"/>
        </w:rPr>
        <w:t>. All communications hereunder shall be in writing and shall be mailed, hand delivered or telecopied and confirmed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parties hereto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If to the Representatives:</w:t>
            </w:r>
          </w:p>
        </w:tc>
        <w:tc>
          <w:tcPr>
            <w:tcW w:w="8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Jefferies LLC</w:t>
            </w:r>
          </w:p>
        </w:tc>
      </w:tr>
      <w:tr>
        <w:trPr>
          <w:trHeight w:val="216"/>
        </w:trPr>
        <w:tc>
          <w:tcPr>
            <w:tcW w:w="2860" w:type="dxa"/>
            <w:vAlign w:val="bottom"/>
          </w:tcPr>
          <w:p>
            <w:pPr>
              <w:spacing w:after="0"/>
              <w:rPr>
                <w:sz w:val="18"/>
                <w:szCs w:val="18"/>
                <w:color w:val="auto"/>
              </w:rPr>
            </w:pPr>
          </w:p>
        </w:tc>
        <w:tc>
          <w:tcPr>
            <w:tcW w:w="8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520 Madison Avenue</w:t>
            </w:r>
          </w:p>
        </w:tc>
      </w:tr>
      <w:tr>
        <w:trPr>
          <w:trHeight w:val="216"/>
        </w:trPr>
        <w:tc>
          <w:tcPr>
            <w:tcW w:w="2860" w:type="dxa"/>
            <w:vAlign w:val="bottom"/>
          </w:tcPr>
          <w:p>
            <w:pPr>
              <w:spacing w:after="0"/>
              <w:rPr>
                <w:sz w:val="18"/>
                <w:szCs w:val="18"/>
                <w:color w:val="auto"/>
              </w:rPr>
            </w:pPr>
          </w:p>
        </w:tc>
        <w:tc>
          <w:tcPr>
            <w:tcW w:w="8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216"/>
        </w:trPr>
        <w:tc>
          <w:tcPr>
            <w:tcW w:w="2860" w:type="dxa"/>
            <w:vAlign w:val="bottom"/>
          </w:tcPr>
          <w:p>
            <w:pPr>
              <w:spacing w:after="0"/>
              <w:rPr>
                <w:sz w:val="18"/>
                <w:szCs w:val="18"/>
                <w:color w:val="auto"/>
              </w:rPr>
            </w:pPr>
          </w:p>
        </w:tc>
        <w:tc>
          <w:tcPr>
            <w:tcW w:w="8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Facsimile: (646) 619-4437</w:t>
            </w:r>
          </w:p>
        </w:tc>
      </w:tr>
      <w:tr>
        <w:trPr>
          <w:trHeight w:val="234"/>
        </w:trPr>
        <w:tc>
          <w:tcPr>
            <w:tcW w:w="2860" w:type="dxa"/>
            <w:vAlign w:val="bottom"/>
          </w:tcPr>
          <w:p>
            <w:pPr>
              <w:spacing w:after="0"/>
              <w:rPr>
                <w:sz w:val="20"/>
                <w:szCs w:val="20"/>
                <w:color w:val="auto"/>
              </w:rPr>
            </w:pPr>
          </w:p>
        </w:tc>
        <w:tc>
          <w:tcPr>
            <w:tcW w:w="8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414"/>
        </w:trPr>
        <w:tc>
          <w:tcPr>
            <w:tcW w:w="2860" w:type="dxa"/>
            <w:vAlign w:val="bottom"/>
          </w:tcPr>
          <w:p>
            <w:pPr>
              <w:spacing w:after="0"/>
              <w:rPr>
                <w:sz w:val="24"/>
                <w:szCs w:val="24"/>
                <w:color w:val="auto"/>
              </w:rPr>
            </w:pPr>
          </w:p>
        </w:tc>
        <w:tc>
          <w:tcPr>
            <w:tcW w:w="8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16"/>
        </w:trPr>
        <w:tc>
          <w:tcPr>
            <w:tcW w:w="2860" w:type="dxa"/>
            <w:vAlign w:val="bottom"/>
          </w:tcPr>
          <w:p>
            <w:pPr>
              <w:spacing w:after="0"/>
              <w:rPr>
                <w:sz w:val="18"/>
                <w:szCs w:val="18"/>
                <w:color w:val="auto"/>
              </w:rPr>
            </w:pPr>
          </w:p>
        </w:tc>
        <w:tc>
          <w:tcPr>
            <w:tcW w:w="8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 West Street</w:t>
            </w:r>
          </w:p>
        </w:tc>
      </w:tr>
      <w:tr>
        <w:trPr>
          <w:trHeight w:val="216"/>
        </w:trPr>
        <w:tc>
          <w:tcPr>
            <w:tcW w:w="2860" w:type="dxa"/>
            <w:vAlign w:val="bottom"/>
          </w:tcPr>
          <w:p>
            <w:pPr>
              <w:spacing w:after="0"/>
              <w:rPr>
                <w:sz w:val="18"/>
                <w:szCs w:val="18"/>
                <w:color w:val="auto"/>
              </w:rPr>
            </w:pPr>
          </w:p>
        </w:tc>
        <w:tc>
          <w:tcPr>
            <w:tcW w:w="8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York, New York 10282</w:t>
            </w:r>
          </w:p>
        </w:tc>
      </w:tr>
      <w:tr>
        <w:trPr>
          <w:trHeight w:val="234"/>
        </w:trPr>
        <w:tc>
          <w:tcPr>
            <w:tcW w:w="2860" w:type="dxa"/>
            <w:vAlign w:val="bottom"/>
          </w:tcPr>
          <w:p>
            <w:pPr>
              <w:spacing w:after="0"/>
              <w:rPr>
                <w:sz w:val="20"/>
                <w:szCs w:val="20"/>
                <w:color w:val="auto"/>
              </w:rPr>
            </w:pPr>
          </w:p>
        </w:tc>
        <w:tc>
          <w:tcPr>
            <w:tcW w:w="8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Attention: Registration Department</w:t>
            </w:r>
          </w:p>
        </w:tc>
      </w:tr>
      <w:tr>
        <w:trPr>
          <w:trHeight w:val="414"/>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with a copy to:</w:t>
            </w:r>
          </w:p>
        </w:tc>
        <w:tc>
          <w:tcPr>
            <w:tcW w:w="8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Paul Hastings LLP</w:t>
            </w:r>
          </w:p>
        </w:tc>
      </w:tr>
      <w:tr>
        <w:trPr>
          <w:trHeight w:val="216"/>
        </w:trPr>
        <w:tc>
          <w:tcPr>
            <w:tcW w:w="2860" w:type="dxa"/>
            <w:vAlign w:val="bottom"/>
          </w:tcPr>
          <w:p>
            <w:pPr>
              <w:spacing w:after="0"/>
              <w:rPr>
                <w:sz w:val="18"/>
                <w:szCs w:val="18"/>
                <w:color w:val="auto"/>
              </w:rPr>
            </w:pPr>
          </w:p>
        </w:tc>
        <w:tc>
          <w:tcPr>
            <w:tcW w:w="8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MetLife Building</w:t>
            </w:r>
          </w:p>
        </w:tc>
      </w:tr>
      <w:tr>
        <w:trPr>
          <w:trHeight w:val="216"/>
        </w:trPr>
        <w:tc>
          <w:tcPr>
            <w:tcW w:w="2860" w:type="dxa"/>
            <w:vAlign w:val="bottom"/>
          </w:tcPr>
          <w:p>
            <w:pPr>
              <w:spacing w:after="0"/>
              <w:rPr>
                <w:sz w:val="18"/>
                <w:szCs w:val="18"/>
                <w:color w:val="auto"/>
              </w:rPr>
            </w:pPr>
          </w:p>
        </w:tc>
        <w:tc>
          <w:tcPr>
            <w:tcW w:w="8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 Park Avenue</w:t>
            </w:r>
          </w:p>
        </w:tc>
      </w:tr>
      <w:tr>
        <w:trPr>
          <w:trHeight w:val="216"/>
        </w:trPr>
        <w:tc>
          <w:tcPr>
            <w:tcW w:w="2860" w:type="dxa"/>
            <w:vAlign w:val="bottom"/>
          </w:tcPr>
          <w:p>
            <w:pPr>
              <w:spacing w:after="0"/>
              <w:rPr>
                <w:sz w:val="18"/>
                <w:szCs w:val="18"/>
                <w:color w:val="auto"/>
              </w:rPr>
            </w:pPr>
          </w:p>
        </w:tc>
        <w:tc>
          <w:tcPr>
            <w:tcW w:w="8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York, New York 10166</w:t>
            </w:r>
          </w:p>
        </w:tc>
      </w:tr>
      <w:tr>
        <w:trPr>
          <w:trHeight w:val="234"/>
        </w:trPr>
        <w:tc>
          <w:tcPr>
            <w:tcW w:w="2860" w:type="dxa"/>
            <w:vAlign w:val="bottom"/>
          </w:tcPr>
          <w:p>
            <w:pPr>
              <w:spacing w:after="0"/>
              <w:rPr>
                <w:sz w:val="20"/>
                <w:szCs w:val="20"/>
                <w:color w:val="auto"/>
              </w:rPr>
            </w:pPr>
          </w:p>
        </w:tc>
        <w:tc>
          <w:tcPr>
            <w:tcW w:w="8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Attention: Siavosh Salimi and Ryan Brewer</w:t>
            </w:r>
          </w:p>
        </w:tc>
      </w:tr>
      <w:tr>
        <w:trPr>
          <w:trHeight w:val="648"/>
        </w:trPr>
        <w:tc>
          <w:tcPr>
            <w:tcW w:w="286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1240"/>
          </w:cols>
          <w:pgMar w:left="320" w:top="900"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Corvus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901 Gateway Boulevard, Third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California 94080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Richard Miller</w:t>
      </w:r>
    </w:p>
    <w:p>
      <w:pPr>
        <w:spacing w:after="0" w:line="200" w:lineRule="exact"/>
        <w:rPr>
          <w:sz w:val="20"/>
          <w:szCs w:val="20"/>
          <w:color w:val="auto"/>
        </w:rPr>
      </w:pPr>
    </w:p>
    <w:p>
      <w:pPr>
        <w:sectPr>
          <w:pgSz w:w="11900" w:h="16838" w:orient="portrait"/>
          <w:cols w:equalWidth="0" w:num="2">
            <w:col w:w="2520" w:space="720"/>
            <w:col w:w="8000"/>
          </w:cols>
          <w:pgMar w:left="320" w:top="904" w:right="339" w:bottom="1440" w:gutter="0" w:footer="0" w:header="0"/>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505 Montgomery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 94111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Kathleen Wells</w:t>
      </w:r>
    </w:p>
    <w:p>
      <w:pPr>
        <w:spacing w:after="0" w:line="200" w:lineRule="exact"/>
        <w:rPr>
          <w:sz w:val="20"/>
          <w:szCs w:val="20"/>
          <w:color w:val="auto"/>
        </w:rPr>
      </w:pPr>
    </w:p>
    <w:p>
      <w:pPr>
        <w:sectPr>
          <w:pgSz w:w="11900" w:h="16838" w:orient="portrait"/>
          <w:cols w:equalWidth="0" w:num="2">
            <w:col w:w="2520" w:space="720"/>
            <w:col w:w="800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16.          Successors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will inure to the benefit of and be binding upon the parties hereto, including any substitute</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Underwriters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 hereof, and to the benefit of the affiliates, directors, officers, employees, agents and controlling persons referred to in Section 9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10, and in each case their respective successors, and personal representatives, and no other person will have any right or obligation hereunder. The term “</w:t>
      </w: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shall not include any purchaser of the Offered Shares as such from any of the Underwriters merely by reason of such purchase.</w:t>
      </w:r>
    </w:p>
    <w:p>
      <w:pPr>
        <w:spacing w:after="0" w:line="185" w:lineRule="exact"/>
        <w:rPr>
          <w:sz w:val="20"/>
          <w:szCs w:val="20"/>
          <w:color w:val="auto"/>
        </w:rPr>
      </w:pPr>
    </w:p>
    <w:p>
      <w:pPr>
        <w:ind w:right="6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Section 17.          Partial Unenforceability</w:t>
      </w:r>
      <w:r>
        <w:rPr>
          <w:rFonts w:ascii="Times New Roman" w:cs="Times New Roman" w:eastAsia="Times New Roman" w:hAnsi="Times New Roman"/>
          <w:sz w:val="18"/>
          <w:szCs w:val="18"/>
          <w:color w:val="auto"/>
        </w:rPr>
        <w:t>. The invalidity or unenforceability of any section, paragraph or provision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18.          Recognition of the U.S. Special Resolution Regimes.</w:t>
      </w:r>
    </w:p>
    <w:p>
      <w:pPr>
        <w:spacing w:after="0" w:line="22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6"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3" w:name="page34"/>
    <w:bookmarkEnd w:id="33"/>
    <w:p>
      <w:pPr>
        <w:ind w:right="100"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Section 19.          Governing Law Provisions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in accordance with the internal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New York 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xml:space="preserve">”),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r>
        <w:rPr>
          <w:rFonts w:ascii="Times New Roman" w:cs="Times New Roman" w:eastAsia="Times New Roman" w:hAnsi="Times New Roman"/>
          <w:sz w:val="18"/>
          <w:szCs w:val="18"/>
          <w:b w:val="1"/>
          <w:bCs w:val="1"/>
          <w:color w:val="auto"/>
        </w:rPr>
        <w:t xml:space="preserve">General Provisions. </w:t>
      </w:r>
      <w:r>
        <w:rPr>
          <w:rFonts w:ascii="Times New Roman" w:cs="Times New Roman" w:eastAsia="Times New Roman" w:hAnsi="Times New Roman"/>
          <w:sz w:val="18"/>
          <w:szCs w:val="18"/>
          <w:color w:val="auto"/>
        </w:rPr>
        <w:t>This Agreement constitutes the entire agreement of the parties to this Agreement and supersedes all prior written or oral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parties hereto acknowledges that it is a sophisticated business person who was adequately represented by counsel during negotiations</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CORVUS PHARMACEUTICALS,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Leiv 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Leiv Lea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firstLine="1620"/>
        <w:spacing w:after="0" w:line="282" w:lineRule="auto"/>
        <w:rPr>
          <w:sz w:val="20"/>
          <w:szCs w:val="20"/>
          <w:color w:val="auto"/>
        </w:rPr>
      </w:pPr>
      <w:r>
        <w:rPr>
          <w:rFonts w:ascii="Times New Roman" w:cs="Times New Roman" w:eastAsia="Times New Roman" w:hAnsi="Times New Roman"/>
          <w:sz w:val="18"/>
          <w:szCs w:val="18"/>
          <w:color w:val="auto"/>
        </w:rPr>
        <w:t>The foregoing Underwriting Agreement is hereby confirmed and accepted by the Representatives in New York, New York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individually and as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Brinkman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Michael Brinkman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Lyla Bibi Maduri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Lyla Bibi Maduri</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Firm Shares</w:t>
            </w:r>
          </w:p>
        </w:tc>
        <w:tc>
          <w:tcPr>
            <w:tcW w:w="2240" w:type="dxa"/>
            <w:vAlign w:val="bottom"/>
          </w:tcPr>
          <w:p>
            <w:pPr>
              <w:spacing w:after="0"/>
              <w:rPr>
                <w:sz w:val="18"/>
                <w:szCs w:val="18"/>
                <w:color w:val="auto"/>
              </w:rPr>
            </w:pPr>
          </w:p>
        </w:tc>
      </w:tr>
      <w:tr>
        <w:trPr>
          <w:trHeight w:val="238"/>
        </w:trPr>
        <w:tc>
          <w:tcPr>
            <w:tcW w:w="7520" w:type="dxa"/>
            <w:vAlign w:val="bottom"/>
            <w:gridSpan w:val="3"/>
          </w:tcPr>
          <w:p>
            <w:pPr>
              <w:ind w:left="2260"/>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Purchased</w:t>
            </w:r>
          </w:p>
        </w:tc>
        <w:tc>
          <w:tcPr>
            <w:tcW w:w="2240" w:type="dxa"/>
            <w:vAlign w:val="bottom"/>
          </w:tcPr>
          <w:p>
            <w:pPr>
              <w:spacing w:after="0"/>
              <w:rPr>
                <w:sz w:val="20"/>
                <w:szCs w:val="20"/>
                <w:color w:val="auto"/>
              </w:rPr>
            </w:pPr>
          </w:p>
        </w:tc>
      </w:tr>
      <w:tr>
        <w:trPr>
          <w:trHeight w:val="209"/>
        </w:trPr>
        <w:tc>
          <w:tcPr>
            <w:tcW w:w="226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3,081,264</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3,081,264</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1,106,095</w:t>
            </w:r>
          </w:p>
        </w:tc>
        <w:tc>
          <w:tcPr>
            <w:tcW w:w="2240" w:type="dxa"/>
            <w:vAlign w:val="bottom"/>
          </w:tcPr>
          <w:p>
            <w:pPr>
              <w:spacing w:after="0"/>
              <w:rPr>
                <w:sz w:val="18"/>
                <w:szCs w:val="18"/>
                <w:color w:val="auto"/>
              </w:rPr>
            </w:pPr>
          </w:p>
        </w:tc>
      </w:tr>
      <w:tr>
        <w:trPr>
          <w:trHeight w:val="230"/>
        </w:trPr>
        <w:tc>
          <w:tcPr>
            <w:tcW w:w="2260" w:type="dxa"/>
            <w:vAlign w:val="bottom"/>
          </w:tcPr>
          <w:p>
            <w:pPr>
              <w:spacing w:after="0"/>
              <w:rPr>
                <w:sz w:val="19"/>
                <w:szCs w:val="19"/>
                <w:color w:val="auto"/>
              </w:rPr>
            </w:pPr>
          </w:p>
        </w:tc>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632,054</w:t>
            </w: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52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7,900,677</w:t>
            </w:r>
          </w:p>
        </w:tc>
        <w:tc>
          <w:tcPr>
            <w:tcW w:w="224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656"/>
        </w:trPr>
        <w:tc>
          <w:tcPr>
            <w:tcW w:w="22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Free Writing Prospectuses Included in the Time of Sale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229"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auto"/>
        </w:rPr>
        <w:t>_________,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Corvus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22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The undersigned is an owner of shares of common stock, par value $0.0001 per share, of the Company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or of securities convertible into or exchangeable or exercisable for Shares. The Company proposes to conduct a public offering of Shares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for which Jefferies LLC and Goldman Sachs &amp; Co. LLC will act as the representatives of the underwriters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and other underwriting arrangements with the Company with respect to the Offering.</w:t>
      </w:r>
    </w:p>
    <w:p>
      <w:pPr>
        <w:spacing w:after="0" w:line="1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Annex A sets forth definitions for capitalized terms used in this letter agreement that are not defined in the body of this letter agreement. Those definitions are a part of this letter agreement.</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the Representatives, which may withhold their consent in their sole discretion:</w:t>
      </w:r>
    </w:p>
    <w:p>
      <w:pPr>
        <w:spacing w:after="0" w:line="176" w:lineRule="exact"/>
        <w:rPr>
          <w:sz w:val="20"/>
          <w:szCs w:val="20"/>
          <w:color w:val="auto"/>
        </w:rPr>
      </w:pPr>
    </w:p>
    <w:p>
      <w:pPr>
        <w:ind w:left="980" w:right="26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do any of the foregoing.</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will not apply to the registration of the offer and sale of the Shares, and the sale of the Shares to the underwriters, in each case as contemplated by the Underwriting Agreement. In addition, the foregoing restrictions shall not apply to the transfer of Shares or Related Securities:</w:t>
      </w:r>
    </w:p>
    <w:p>
      <w:pPr>
        <w:spacing w:after="0" w:line="162" w:lineRule="exact"/>
        <w:rPr>
          <w:sz w:val="20"/>
          <w:szCs w:val="20"/>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or Related Securities as a bona fide gift or gifts or by testate succession or intestate distribution;</w:t>
      </w:r>
    </w:p>
    <w:p>
      <w:pPr>
        <w:spacing w:after="0" w:line="225" w:lineRule="exact"/>
        <w:rPr>
          <w:rFonts w:ascii="Times New Roman" w:cs="Times New Roman" w:eastAsia="Times New Roman" w:hAnsi="Times New Roman"/>
          <w:sz w:val="18"/>
          <w:szCs w:val="18"/>
          <w:color w:val="auto"/>
        </w:rPr>
      </w:pPr>
    </w:p>
    <w:p>
      <w:pPr>
        <w:ind w:left="980" w:right="660" w:hanging="648"/>
        <w:spacing w:after="0" w:line="312" w:lineRule="auto"/>
        <w:tabs>
          <w:tab w:leader="none" w:pos="9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Shares or Related Securities acquired by the undersigned in the Offering or on the open market following the Offering, provided, however, that the carveout specified in clause (ii) shall not be available to directors and executive officers of the Company;</w:t>
      </w:r>
    </w:p>
    <w:p>
      <w:pPr>
        <w:spacing w:after="0" w:line="139" w:lineRule="exact"/>
        <w:rPr>
          <w:rFonts w:ascii="Times New Roman" w:cs="Times New Roman" w:eastAsia="Times New Roman" w:hAnsi="Times New Roman"/>
          <w:sz w:val="17"/>
          <w:szCs w:val="17"/>
          <w:color w:val="auto"/>
        </w:rPr>
      </w:pPr>
    </w:p>
    <w:p>
      <w:pPr>
        <w:ind w:left="980" w:right="100" w:hanging="64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stock options or other similar awards granted pursuant to the Company’s equity incentive plans, provided that such restriction shall apply to any of the Shares or Related Securities issued to the undersigned upon such exercise;</w:t>
      </w:r>
    </w:p>
    <w:p>
      <w:pPr>
        <w:spacing w:after="0" w:line="161" w:lineRule="exact"/>
        <w:rPr>
          <w:rFonts w:ascii="Times New Roman" w:cs="Times New Roman" w:eastAsia="Times New Roman" w:hAnsi="Times New Roman"/>
          <w:sz w:val="18"/>
          <w:szCs w:val="18"/>
          <w:color w:val="auto"/>
        </w:rPr>
      </w:pPr>
    </w:p>
    <w:p>
      <w:pPr>
        <w:ind w:left="980" w:hanging="648"/>
        <w:spacing w:after="0" w:line="254"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open market transactions to generate such amount of net proceeds to the undersigned from such sales (after deducting commissions) in an aggregate amount up to the total amount of taxes or estimated taxes (as applicable) and/or aggregate exercise price that become due as a result of the vesting, exercise (including by way of “net or cashless exercise) and/or settlement of Company equity awards held by the undersigned and issued pursuant to a plan or arrangement described in the prospectus that vest, are exercised and/or settle during the Lock-up Period, provided that, for the avoidance of doubt, any Shares or Related Securities retained by the undersigned after giving effect to this provision shall be subject to the terms of this letter agreement, provided further that the carveout specified in this clause (iv) shall not be available to (x) directors and executive officers of the Company and (y) persons other than directors and executive officers of the Company during the period beginning on the date hereof and continuing through the close of trading on the date that is 30 days after the date of the Prospectus;</w:t>
      </w:r>
    </w:p>
    <w:p>
      <w:pPr>
        <w:spacing w:after="0" w:line="188" w:lineRule="exact"/>
        <w:rPr>
          <w:rFonts w:ascii="Times New Roman" w:cs="Times New Roman" w:eastAsia="Times New Roman" w:hAnsi="Times New Roman"/>
          <w:sz w:val="18"/>
          <w:szCs w:val="18"/>
          <w:color w:val="auto"/>
        </w:rPr>
      </w:pPr>
    </w:p>
    <w:p>
      <w:pPr>
        <w:ind w:left="980" w:right="120" w:hanging="648"/>
        <w:spacing w:after="0" w:line="26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or Related Securities or other securities that are transferred to the Company for the primary purpose of satisfying any tax or other governmental withholding obligation, through cashless surrender or otherwise, with respect to any award of equity-based compensation granted pursuant to the Company’s equity incentive plans or in connection with tax or other obligations as a result of testate succession or intestate distribution;</w:t>
      </w:r>
    </w:p>
    <w:p>
      <w:pPr>
        <w:spacing w:after="0" w:line="179" w:lineRule="exact"/>
        <w:rPr>
          <w:rFonts w:ascii="Times New Roman" w:cs="Times New Roman" w:eastAsia="Times New Roman" w:hAnsi="Times New Roman"/>
          <w:sz w:val="18"/>
          <w:szCs w:val="18"/>
          <w:color w:val="auto"/>
        </w:rPr>
      </w:pPr>
    </w:p>
    <w:p>
      <w:pPr>
        <w:ind w:left="980" w:right="20" w:hanging="648"/>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or amendment of any contract, instruction or plan that satisfies all of the requirements of Rule 10b5-1(c)(1)(i)(B) under the Exchange Act (such a contract, instruction or plan,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provided that no sales of the undersigned’s Shares or Related Securities shall be made pursuant to such a Plan prior to the expiration of the Lock-up Period referred to herein;</w:t>
      </w:r>
    </w:p>
    <w:p>
      <w:pPr>
        <w:spacing w:after="0" w:line="175" w:lineRule="exact"/>
        <w:rPr>
          <w:rFonts w:ascii="Times New Roman" w:cs="Times New Roman" w:eastAsia="Times New Roman" w:hAnsi="Times New Roman"/>
          <w:sz w:val="18"/>
          <w:szCs w:val="18"/>
          <w:color w:val="auto"/>
        </w:rPr>
      </w:pPr>
    </w:p>
    <w:p>
      <w:pPr>
        <w:ind w:left="980" w:right="60" w:hanging="648"/>
        <w:spacing w:after="0" w:line="258"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transfer of Shares or Related Securities or any security convertible into Shares pursuant to a Plan in effect and disclosed to the Representatives prior to the execution of this letter agreement by the undersigned (such Plan, an “</w:t>
      </w:r>
      <w:r>
        <w:rPr>
          <w:rFonts w:ascii="Times New Roman" w:cs="Times New Roman" w:eastAsia="Times New Roman" w:hAnsi="Times New Roman"/>
          <w:sz w:val="18"/>
          <w:szCs w:val="18"/>
          <w:b w:val="1"/>
          <w:bCs w:val="1"/>
          <w:color w:val="auto"/>
        </w:rPr>
        <w:t>Existing Plan</w:t>
      </w:r>
      <w:r>
        <w:rPr>
          <w:rFonts w:ascii="Times New Roman" w:cs="Times New Roman" w:eastAsia="Times New Roman" w:hAnsi="Times New Roman"/>
          <w:sz w:val="18"/>
          <w:szCs w:val="18"/>
          <w:color w:val="auto"/>
        </w:rPr>
        <w:t>”), provided, that if the undersigned reports any such sale or transfer on Form 4 under Section 16(a) of the Exchange Act, the undersigned shall cause such Form 4 to include a statement that such transfer was effected pursuant to an Existing Plan that was in effect on the date that the undersigned executed this letter agreement;</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EN-3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9" w:name="page40"/>
    <w:bookmarkEnd w:id="39"/>
    <w:p>
      <w:pPr>
        <w:ind w:left="980" w:right="62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not involving a disposition for value to a member or members of the undersigned’s family or to a trust, the direct or indirect beneficiaries of which are the undersigned and/or a member or members of his or her family;</w:t>
      </w:r>
    </w:p>
    <w:p>
      <w:pPr>
        <w:spacing w:after="0" w:line="161" w:lineRule="exact"/>
        <w:rPr>
          <w:rFonts w:ascii="Times New Roman" w:cs="Times New Roman" w:eastAsia="Times New Roman" w:hAnsi="Times New Roman"/>
          <w:sz w:val="18"/>
          <w:szCs w:val="18"/>
          <w:color w:val="auto"/>
        </w:rPr>
      </w:pPr>
    </w:p>
    <w:p>
      <w:pPr>
        <w:ind w:left="980" w:right="6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the undersigned’s Shares or Related Securities by will, other testamentary document or intestate succession to the legal representative, heir, beneficiary or a member of the immediate family of the undersigned;</w:t>
      </w:r>
    </w:p>
    <w:p>
      <w:pPr>
        <w:spacing w:after="0" w:line="161" w:lineRule="exact"/>
        <w:rPr>
          <w:rFonts w:ascii="Times New Roman" w:cs="Times New Roman" w:eastAsia="Times New Roman" w:hAnsi="Times New Roman"/>
          <w:sz w:val="18"/>
          <w:szCs w:val="18"/>
          <w:color w:val="auto"/>
        </w:rPr>
      </w:pPr>
    </w:p>
    <w:p>
      <w:pPr>
        <w:ind w:left="980" w:right="20" w:hanging="648"/>
        <w:spacing w:after="0" w:line="258"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not involving a disposition for value of Shares or Related Securities to members, partners or stockholders of the undersigned or to any corporation, partnership or other person or entity that is a direct or indirect affiliate of the undersigned (including, for the avoidance of doubt,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w:t>
      </w:r>
    </w:p>
    <w:p>
      <w:pPr>
        <w:spacing w:after="0" w:line="183" w:lineRule="exact"/>
        <w:rPr>
          <w:rFonts w:ascii="Times New Roman" w:cs="Times New Roman" w:eastAsia="Times New Roman" w:hAnsi="Times New Roman"/>
          <w:sz w:val="18"/>
          <w:szCs w:val="18"/>
          <w:color w:val="auto"/>
        </w:rPr>
      </w:pPr>
    </w:p>
    <w:p>
      <w:pPr>
        <w:ind w:left="980" w:right="54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disposition of the undersigned’s Shares or Related Securities or other securities that occurs by operation of law, such as pursuant to a qualified domestic order or in connection with a divorce settlement;</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undersigned’s Shares or Related Securities to the Company pursuant to any contractual arrangement in effect on the date of this letter agreement that provides for the repurchase of the undersigned’s Shares or Related Securities by the Company or in connection with the termination of the undersigned’s employment or other service relationship with the Company;</w:t>
      </w:r>
    </w:p>
    <w:p>
      <w:pPr>
        <w:spacing w:after="0" w:line="175" w:lineRule="exact"/>
        <w:rPr>
          <w:rFonts w:ascii="Times New Roman" w:cs="Times New Roman" w:eastAsia="Times New Roman" w:hAnsi="Times New Roman"/>
          <w:sz w:val="18"/>
          <w:szCs w:val="18"/>
          <w:color w:val="auto"/>
        </w:rPr>
      </w:pPr>
    </w:p>
    <w:p>
      <w:pPr>
        <w:ind w:left="980" w:right="40" w:hanging="648"/>
        <w:spacing w:after="0" w:line="253"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transfers, sales, tenders or other dispositions of Shares or Related Securities or any security convertible into or exercisable or exchangeable for Shares or Related Securities pursuant to a bona fide third party tender offer made to all holders of the Company’s common stock or a merger, amalgamation, consolidation or other similar transaction, in each case that is approved by the board of directors of the Company and that is on substantially the same terms for holders of at least 50.1% of the outstanding common stock of the Company, the result of which is that any “person” (as defined in Section 13(d)(3) of the Exchange Act), or group of persons, other than the Company, becomes the beneficial owner (as defined in Rules 13d-3 and 13d-5 of the Exchange Act) of 50% of total voting power of the voting stock of the Company (including, without limitation, the entering into any lock-up, voting or similar agreement pursuant to which the undersigned may agree to transfer, sell, tender or otherwise dispose of Shares or Related Securities or other such securities in connection with such transaction, or vote any Shares or Related Securities or other such securities in favor of any such transaction); provided that if such tender offer, merger, amalgamation, consolidation or other similar transaction is not completed, any Shares or Related Securities or any security convertible into or exercisable or exchangeable for Shares or Related Securities subject to this letter agreement shall remain subject to the restrictions contained in this letter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any such case, it shall be a condition to such transfer that:</w:t>
      </w:r>
    </w:p>
    <w:p>
      <w:pPr>
        <w:spacing w:after="0" w:line="227" w:lineRule="exact"/>
        <w:rPr>
          <w:sz w:val="20"/>
          <w:szCs w:val="20"/>
          <w:color w:val="auto"/>
        </w:rPr>
      </w:pPr>
    </w:p>
    <w:p>
      <w:pPr>
        <w:ind w:left="980" w:right="140" w:hanging="324"/>
        <w:spacing w:after="0" w:line="258"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 (i), (viii), (ix), (x) and (xi) each transferee executes and delivers to the Representatives an agreement in form and substance satisfactory to the Representatives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EN-4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40" w:name="page41"/>
    <w:bookmarkEnd w:id="40"/>
    <w:p>
      <w:pPr>
        <w:ind w:left="980" w:right="20" w:hanging="324"/>
        <w:spacing w:after="0" w:line="255"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 (i), (ii), (iv), (v), (vi), or (viii) through (xi), no filing by any party (donor, donee, transferor or transferee) under Section 16 of the Exchange Act or other public announcement shall be required or shall be made voluntarily in connection with such transfer or distribution (other than (a) a filing on a Form 5 made after the expiration of the Lock-up Period referred to above, (b) disclosures required by Form 13F, Schedule 13D or Schedule 13G that are not (x) triggered by a specific transaction and</w:t>
      </w:r>
    </w:p>
    <w:p>
      <w:pPr>
        <w:spacing w:after="0" w:line="2" w:lineRule="exact"/>
        <w:rPr>
          <w:rFonts w:ascii="Times New Roman" w:cs="Times New Roman" w:eastAsia="Times New Roman" w:hAnsi="Times New Roman"/>
          <w:sz w:val="18"/>
          <w:szCs w:val="18"/>
          <w:color w:val="auto"/>
        </w:rPr>
      </w:pPr>
    </w:p>
    <w:p>
      <w:pPr>
        <w:ind w:left="9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required to be filed during the Lock-up Period, (c) in the case of a transfer pursuant to clause (i), a filing required under Section 16(a) of the Exchange Act, provided that any such filing shall state that such transfer is a bona fide gift and that such Shares or Related Securities remain subject to the restrictions set forth herein, and (d) in the case of a transfer pursuant to clause (vi), a filing required under the Exchange Act, provided that any such filing shall state that no sales of the undersigned’s Shares or Related Securities shall be made pursuant to such a Plan prior to the expiration of the Lock-up Period).</w:t>
      </w:r>
    </w:p>
    <w:p>
      <w:pPr>
        <w:spacing w:after="0" w:line="187"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62"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7"/>
          <w:szCs w:val="17"/>
          <w:color w:val="auto"/>
        </w:rPr>
        <w:t>This letter agreement shall lapse and become null and void if the Offering shall not have occurred on or before February 13, 2026. The undersigned understands that (i) on February 13, 2026, if the Offering shall not have occurred, (ii) if the Underwriting Agreement (other than the provisions thereof which survive termination) shall terminate or be terminated prior to payment for and delivery of the Shares and Related Securities to be sold thereunder,</w:t>
      </w:r>
    </w:p>
    <w:p>
      <w:pPr>
        <w:spacing w:after="0" w:line="2" w:lineRule="exact"/>
        <w:rPr>
          <w:sz w:val="20"/>
          <w:szCs w:val="20"/>
          <w:color w:val="auto"/>
        </w:rPr>
      </w:pPr>
    </w:p>
    <w:p>
      <w:pPr>
        <w:ind w:right="80" w:firstLine="8"/>
        <w:spacing w:after="0" w:line="252"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Representative, on the one hand, or the Company, on the other hand, informs the other, prior to the execution of the Underwriting Agreement, that it has determined not to proceed with the Offering or (iv) the registration statement related to the Offering has been completely withdrawn prior to the closing of the Offering, the undersigned shall be released from all obligations under this Lock-Up Agreement. This letter agreement shall be governed by, and construed in accordance with, the laws of the State of New York. This letter agreement may be delivered via facsimile,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www.echosign.com)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signing as custodian or trustee, or on behalf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an entity)</w:t>
      </w:r>
    </w:p>
    <w:p>
      <w:pPr>
        <w:spacing w:after="0" w:line="200" w:lineRule="exact"/>
        <w:rPr>
          <w:sz w:val="20"/>
          <w:szCs w:val="20"/>
          <w:color w:val="auto"/>
        </w:rPr>
      </w:pPr>
    </w:p>
    <w:p>
      <w:pPr>
        <w:spacing w:after="0" w:line="223"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EN-6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34" w:right="1440" w:bottom="1440" w:gutter="0" w:footer="0" w:header="0"/>
        </w:sectPr>
      </w:pPr>
    </w:p>
    <w:bookmarkStart w:id="42" w:name="page43"/>
    <w:bookmarkEnd w:id="4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Used in Lock-up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letter agreement to which this Annex A is attached and of which it is made a part:</w:t>
      </w:r>
    </w:p>
    <w:p>
      <w:pPr>
        <w:spacing w:after="0" w:line="221"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Equivalent Position</w:t>
      </w:r>
      <w:r>
        <w:rPr>
          <w:rFonts w:ascii="Times New Roman" w:cs="Times New Roman" w:eastAsia="Times New Roman" w:hAnsi="Times New Roman"/>
          <w:sz w:val="18"/>
          <w:szCs w:val="18"/>
          <w:color w:val="auto"/>
        </w:rPr>
        <w:t>” shall have the meaning set forth in Rule 16a-1(b) under the Exchange 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left="980" w:right="20" w:hanging="324"/>
        <w:spacing w:after="0" w:line="259"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as used above shall have the meaning set forth in Rule 16a-1(e) under the Exchange Act.</w:t>
      </w:r>
    </w:p>
    <w:p>
      <w:pPr>
        <w:spacing w:after="0" w:line="179" w:lineRule="exact"/>
        <w:rPr>
          <w:rFonts w:ascii="Times New Roman" w:cs="Times New Roman" w:eastAsia="Times New Roman" w:hAnsi="Times New Roman"/>
          <w:sz w:val="18"/>
          <w:szCs w:val="18"/>
          <w:color w:val="auto"/>
        </w:rPr>
      </w:pPr>
    </w:p>
    <w:p>
      <w:pPr>
        <w:ind w:left="980" w:right="80" w:hanging="324"/>
        <w:spacing w:after="0" w:line="28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shall mean the period beginning on the date hereof and continuing through the close of trading on the date that is 45 days after the date of the Prospectus (as defined in the Underwriting Agreement).</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Equivalent Position</w:t>
      </w:r>
      <w:r>
        <w:rPr>
          <w:rFonts w:ascii="Times New Roman" w:cs="Times New Roman" w:eastAsia="Times New Roman" w:hAnsi="Times New Roman"/>
          <w:sz w:val="18"/>
          <w:szCs w:val="18"/>
          <w:color w:val="auto"/>
        </w:rPr>
        <w:t>” shall have the meaning set forth in Rule 16a-1(h) under the Exchange Act.</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 or Offer to Sell</w:t>
      </w:r>
      <w:r>
        <w:rPr>
          <w:rFonts w:ascii="Times New Roman" w:cs="Times New Roman" w:eastAsia="Times New Roman" w:hAnsi="Times New Roman"/>
          <w:sz w:val="18"/>
          <w:szCs w:val="18"/>
          <w:color w:val="auto"/>
        </w:rPr>
        <w:t>” shall mean to:</w:t>
      </w:r>
    </w:p>
    <w:p>
      <w:pPr>
        <w:spacing w:after="0" w:line="22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sell, offer to sell, contract to sell or lend,</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effect any short sale or establish or increase a Put Equivalent Position or liquidate or decrease any Call Equivalent Position,</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pledge, hypothecate or grant any security interest in, or</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any other way transfer or dispose 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each case whether effected directly or indirectly.</w:t>
      </w:r>
    </w:p>
    <w:p>
      <w:pPr>
        <w:spacing w:after="0" w:line="221" w:lineRule="exact"/>
        <w:rPr>
          <w:sz w:val="20"/>
          <w:szCs w:val="20"/>
          <w:color w:val="auto"/>
        </w:rPr>
      </w:pPr>
    </w:p>
    <w:p>
      <w:pPr>
        <w:ind w:left="980" w:right="140" w:hanging="324"/>
        <w:spacing w:after="0" w:line="28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w:t>
      </w:r>
      <w:r>
        <w:rPr>
          <w:rFonts w:ascii="Times New Roman" w:cs="Times New Roman" w:eastAsia="Times New Roman" w:hAnsi="Times New Roman"/>
          <w:sz w:val="18"/>
          <w:szCs w:val="18"/>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defined in this Annex A shall have the meanings given to them in the body of this letter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Officers and Others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Signing Lock-up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A. Miller,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Miller Horning Family Trust u/a/d January 25, 1985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Ian T. Clark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 Grais, M.D., J.D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B.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W. Morrison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Thompson,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Leiv Lea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Karlson Lea Family Trust UTA dated February 11, 1998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Leiv Lea IRA Contributory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Arcara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van den Broek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Moore</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EN-8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8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14"/>
        </w:trPr>
        <w:tc>
          <w:tcPr>
            <w:tcW w:w="5340" w:type="dxa"/>
            <w:vAlign w:val="bottom"/>
          </w:tcPr>
          <w:p>
            <w:pPr>
              <w:spacing w:after="0"/>
              <w:rPr>
                <w:sz w:val="24"/>
                <w:szCs w:val="24"/>
                <w:color w:val="auto"/>
              </w:rPr>
            </w:pP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140 Scott Drive</w:t>
            </w:r>
          </w:p>
        </w:tc>
        <w:tc>
          <w:tcPr>
            <w:tcW w:w="1860" w:type="dxa"/>
            <w:vAlign w:val="bottom"/>
          </w:tcPr>
          <w:p>
            <w:pPr>
              <w:spacing w:after="0"/>
              <w:rPr>
                <w:sz w:val="24"/>
                <w:szCs w:val="24"/>
                <w:color w:val="auto"/>
              </w:rPr>
            </w:pPr>
          </w:p>
        </w:tc>
      </w:tr>
      <w:tr>
        <w:trPr>
          <w:trHeight w:val="216"/>
        </w:trPr>
        <w:tc>
          <w:tcPr>
            <w:tcW w:w="5340" w:type="dxa"/>
            <w:vAlign w:val="bottom"/>
          </w:tcPr>
          <w:p>
            <w:pPr>
              <w:spacing w:after="0"/>
              <w:rPr>
                <w:sz w:val="18"/>
                <w:szCs w:val="18"/>
                <w:color w:val="auto"/>
              </w:rPr>
            </w:pPr>
          </w:p>
        </w:tc>
        <w:tc>
          <w:tcPr>
            <w:tcW w:w="59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Menlo Park, California 94025</w:t>
            </w:r>
          </w:p>
        </w:tc>
      </w:tr>
      <w:tr>
        <w:trPr>
          <w:trHeight w:val="216"/>
        </w:trPr>
        <w:tc>
          <w:tcPr>
            <w:tcW w:w="5340" w:type="dxa"/>
            <w:vAlign w:val="bottom"/>
          </w:tcPr>
          <w:p>
            <w:pPr>
              <w:spacing w:after="0"/>
              <w:rPr>
                <w:sz w:val="18"/>
                <w:szCs w:val="18"/>
                <w:color w:val="auto"/>
              </w:rPr>
            </w:pPr>
          </w:p>
        </w:tc>
        <w:tc>
          <w:tcPr>
            <w:tcW w:w="59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Tel: +1.650.328.4600 Fax: +1.650.463.2600</w:t>
            </w:r>
          </w:p>
        </w:tc>
      </w:tr>
      <w:tr>
        <w:trPr>
          <w:trHeight w:val="234"/>
        </w:trPr>
        <w:tc>
          <w:tcPr>
            <w:tcW w:w="5340" w:type="dxa"/>
            <w:vAlign w:val="bottom"/>
          </w:tcPr>
          <w:p>
            <w:pPr>
              <w:spacing w:after="0"/>
              <w:rPr>
                <w:sz w:val="20"/>
                <w:szCs w:val="20"/>
                <w:color w:val="auto"/>
              </w:rPr>
            </w:pP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www.lw.com</w:t>
            </w:r>
          </w:p>
        </w:tc>
        <w:tc>
          <w:tcPr>
            <w:tcW w:w="1860" w:type="dxa"/>
            <w:vAlign w:val="bottom"/>
          </w:tcPr>
          <w:p>
            <w:pPr>
              <w:spacing w:after="0"/>
              <w:rPr>
                <w:sz w:val="20"/>
                <w:szCs w:val="20"/>
                <w:color w:val="auto"/>
              </w:rPr>
            </w:pPr>
          </w:p>
        </w:tc>
      </w:tr>
      <w:tr>
        <w:trPr>
          <w:trHeight w:val="414"/>
        </w:trPr>
        <w:tc>
          <w:tcPr>
            <w:tcW w:w="5340" w:type="dxa"/>
            <w:vAlign w:val="bottom"/>
          </w:tcPr>
          <w:p>
            <w:pPr>
              <w:spacing w:after="0"/>
              <w:rPr>
                <w:sz w:val="24"/>
                <w:szCs w:val="24"/>
                <w:color w:val="auto"/>
              </w:rPr>
            </w:pPr>
          </w:p>
        </w:tc>
        <w:tc>
          <w:tcPr>
            <w:tcW w:w="59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6"/>
        </w:trPr>
        <w:tc>
          <w:tcPr>
            <w:tcW w:w="5340" w:type="dxa"/>
            <w:vAlign w:val="bottom"/>
          </w:tcPr>
          <w:p>
            <w:pPr>
              <w:spacing w:after="0"/>
              <w:rPr>
                <w:sz w:val="18"/>
                <w:szCs w:val="18"/>
                <w:color w:val="auto"/>
              </w:rPr>
            </w:pP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Austin</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5340" w:type="dxa"/>
            <w:vAlign w:val="bottom"/>
          </w:tcPr>
          <w:p>
            <w:pPr>
              <w:spacing w:after="0"/>
              <w:rPr>
                <w:sz w:val="18"/>
                <w:szCs w:val="18"/>
                <w:color w:val="auto"/>
              </w:rPr>
            </w:pP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Beijing</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5340" w:type="dxa"/>
            <w:vAlign w:val="bottom"/>
          </w:tcPr>
          <w:p>
            <w:pPr>
              <w:spacing w:after="0"/>
              <w:rPr>
                <w:sz w:val="18"/>
                <w:szCs w:val="18"/>
                <w:color w:val="auto"/>
              </w:rPr>
            </w:pP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Boston</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340" w:type="dxa"/>
            <w:vAlign w:val="bottom"/>
          </w:tcPr>
          <w:p>
            <w:pPr>
              <w:spacing w:after="0"/>
              <w:rPr>
                <w:sz w:val="18"/>
                <w:szCs w:val="18"/>
                <w:color w:val="auto"/>
              </w:rPr>
            </w:pP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Brussels</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5340" w:type="dxa"/>
            <w:vAlign w:val="bottom"/>
          </w:tcPr>
          <w:p>
            <w:pPr>
              <w:spacing w:after="0"/>
              <w:rPr>
                <w:sz w:val="18"/>
                <w:szCs w:val="18"/>
                <w:color w:val="auto"/>
              </w:rPr>
            </w:pP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Chicago</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5340" w:type="dxa"/>
            <w:vAlign w:val="bottom"/>
          </w:tcPr>
          <w:p>
            <w:pPr>
              <w:spacing w:after="0"/>
              <w:rPr>
                <w:sz w:val="18"/>
                <w:szCs w:val="18"/>
                <w:color w:val="auto"/>
              </w:rPr>
            </w:pP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Dubai</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January 23, 2026</w:t>
            </w: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Düsseldorf</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San Diegoo</w:t>
            </w:r>
          </w:p>
        </w:tc>
      </w:tr>
      <w:tr>
        <w:trPr>
          <w:trHeight w:val="216"/>
        </w:trPr>
        <w:tc>
          <w:tcPr>
            <w:tcW w:w="5340" w:type="dxa"/>
            <w:vAlign w:val="bottom"/>
          </w:tcPr>
          <w:p>
            <w:pPr>
              <w:spacing w:after="0"/>
              <w:rPr>
                <w:sz w:val="18"/>
                <w:szCs w:val="18"/>
                <w:color w:val="auto"/>
              </w:rPr>
            </w:pP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Frankfurt</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5340" w:type="dxa"/>
            <w:vAlign w:val="bottom"/>
          </w:tcPr>
          <w:p>
            <w:pPr>
              <w:spacing w:after="0"/>
              <w:rPr>
                <w:sz w:val="18"/>
                <w:szCs w:val="18"/>
                <w:color w:val="auto"/>
              </w:rPr>
            </w:pP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Hamburg</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5340" w:type="dxa"/>
            <w:vAlign w:val="bottom"/>
          </w:tcPr>
          <w:p>
            <w:pPr>
              <w:spacing w:after="0"/>
              <w:rPr>
                <w:sz w:val="18"/>
                <w:szCs w:val="18"/>
                <w:color w:val="auto"/>
              </w:rPr>
            </w:pP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Hong Kong</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5340" w:type="dxa"/>
            <w:vAlign w:val="bottom"/>
          </w:tcPr>
          <w:p>
            <w:pPr>
              <w:spacing w:after="0"/>
              <w:rPr>
                <w:sz w:val="18"/>
                <w:szCs w:val="18"/>
                <w:color w:val="auto"/>
              </w:rPr>
            </w:pP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Houston</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340" w:type="dxa"/>
            <w:vAlign w:val="bottom"/>
          </w:tcPr>
          <w:p>
            <w:pPr>
              <w:spacing w:after="0"/>
              <w:rPr>
                <w:sz w:val="18"/>
                <w:szCs w:val="18"/>
                <w:color w:val="auto"/>
              </w:rPr>
            </w:pP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London</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Corvus Pharmaceuticals, Inc.</w:t>
            </w: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Los Angeles</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Tokyo</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901 Gateway Boulevard, Third Floor</w:t>
            </w:r>
          </w:p>
        </w:tc>
        <w:tc>
          <w:tcPr>
            <w:tcW w:w="4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Madrid</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Washington, D.C.</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South San Francisco, CA 94080</w:t>
            </w:r>
          </w:p>
        </w:tc>
        <w:tc>
          <w:tcPr>
            <w:tcW w:w="404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-2193925</wp:posOffset>
            </wp:positionV>
            <wp:extent cx="2400300" cy="282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00300" cy="282575"/>
                    </a:xfrm>
                    <a:prstGeom prst="rect">
                      <a:avLst/>
                    </a:prstGeom>
                    <a:noFill/>
                  </pic:spPr>
                </pic:pic>
              </a:graphicData>
            </a:graphic>
          </wp:anchor>
        </w:drawing>
      </w:r>
    </w:p>
    <w:p>
      <w:pPr>
        <w:spacing w:after="0" w:line="178" w:lineRule="exact"/>
        <w:rPr>
          <w:sz w:val="20"/>
          <w:szCs w:val="20"/>
          <w:color w:val="auto"/>
        </w:rPr>
      </w:pPr>
    </w:p>
    <w:p>
      <w:pPr>
        <w:ind w:left="980" w:hanging="323"/>
        <w:spacing w:after="0" w:line="282" w:lineRule="auto"/>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Statements No. 333-281318 on Form S-3 and No. 333-292864 on Form S-3MEF; Up to 9,085,778 shares of Common Stock, par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value $0.0001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special counsel to Corvus Pharmaceuticals,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proposed issuance of up to 9,085,778 shares (including up to 1,185,101 shares issuable upon exercise of the underwriters’ option to purchase additional shares) of common stock, $0.0001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 Shares are included in a registration statement on Form S-3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August 6, 2024 (Registration No. 333-281318) and a related registration statement on Form S-3MEF (Registration No. 333-292864) filed with the Commission pursuant to Rule 462(b) under the Act on January 21, 2026 which became effective automatically upon filing (as so filed, collectively,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a base prospectus dated August 15, 2024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a prospectus supplement dated January 21, 2026 (together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an underwriting agreement dated January 21, 2026, by and among Jefferies LLC and Goldman Sachs &amp; Co. LLC, as representatives of the underwriters, and the Company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we express no opinion with respect to any other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January 23,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97355"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9735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Underwriting Agreement,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dated January 23, 2026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1)"/>
      <w:numFmt w:val="upperLetter"/>
      <w:start w:val="1"/>
    </w:lvl>
  </w:abstractNum>
  <w:abstractNum w:abstractNumId="3">
    <w:nsid w:val="1190CDE7"/>
    <w:multiLevelType w:val="hybridMultilevel"/>
    <w:lvl w:ilvl="0">
      <w:lvlJc w:val="left"/>
      <w:lvlText w:val="(%1)"/>
      <w:numFmt w:val="lowerRoman"/>
      <w:start w:val="3"/>
    </w:lvl>
  </w:abstractNum>
  <w:abstractNum w:abstractNumId="4">
    <w:nsid w:val="66EF438D"/>
    <w:multiLevelType w:val="hybridMultilevel"/>
    <w:lvl w:ilvl="0">
      <w:lvlJc w:val="left"/>
      <w:lvlText w:val="(%1)"/>
      <w:numFmt w:val="lowerRoman"/>
      <w:start w:val="2"/>
    </w:lvl>
  </w:abstractNum>
  <w:abstractNum w:abstractNumId="5">
    <w:nsid w:val="140E0F76"/>
    <w:multiLevelType w:val="hybridMultilevel"/>
    <w:lvl w:ilvl="0">
      <w:lvlJc w:val="left"/>
      <w:lvlText w:val="(%1)"/>
      <w:numFmt w:val="lowerRoman"/>
      <w:start w:val="2"/>
    </w:lvl>
  </w:abstractNum>
  <w:abstractNum w:abstractNumId="6">
    <w:nsid w:val="3352255A"/>
    <w:multiLevelType w:val="hybridMultilevel"/>
    <w:lvl w:ilvl="0">
      <w:lvlJc w:val="left"/>
      <w:lvlText w:val="(%1)"/>
      <w:numFmt w:val="lowerRoman"/>
      <w:start w:val="6"/>
    </w:lvl>
  </w:abstractNum>
  <w:abstractNum w:abstractNumId="7">
    <w:nsid w:val="109CF92E"/>
    <w:multiLevelType w:val="hybridMultilevel"/>
    <w:lvl w:ilvl="0">
      <w:lvlJc w:val="left"/>
      <w:lvlText w:val="(%1)"/>
      <w:numFmt w:val="lowerRoman"/>
      <w:start w:val="8"/>
    </w:lvl>
  </w:abstractNum>
  <w:abstractNum w:abstractNumId="8">
    <w:nsid w:val="DED7263"/>
    <w:multiLevelType w:val="hybridMultilevel"/>
    <w:lvl w:ilvl="0">
      <w:lvlJc w:val="left"/>
      <w:lvlText w:val="(%1)"/>
      <w:numFmt w:val="upperLetter"/>
      <w:start w:val="6"/>
    </w:lvl>
  </w:abstractNum>
  <w:abstractNum w:abstractNumId="9">
    <w:nsid w:val="7FDCC233"/>
    <w:multiLevelType w:val="hybridMultilevel"/>
    <w:lvl w:ilvl="0">
      <w:lvlJc w:val="left"/>
      <w:lvlText w:val="(%1)"/>
      <w:numFmt w:val="lowerRoman"/>
      <w:start w:val="8"/>
    </w:lvl>
  </w:abstractNum>
  <w:abstractNum w:abstractNumId="10">
    <w:nsid w:val="1BEFD79F"/>
    <w:multiLevelType w:val="hybridMultilevel"/>
    <w:lvl w:ilvl="0">
      <w:lvlJc w:val="left"/>
      <w:lvlText w:val="(%1)"/>
      <w:numFmt w:val="lowerRoman"/>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Roman"/>
      <w:start w:val="1"/>
    </w:lvl>
  </w:abstractNum>
  <w:abstractNum w:abstractNumId="13">
    <w:nsid w:val="4E6AFB66"/>
    <w:multiLevelType w:val="hybridMultilevel"/>
    <w:lvl w:ilvl="0">
      <w:lvlJc w:val="left"/>
      <w:lvlText w:val="(%1)"/>
      <w:numFmt w:val="lowerRoman"/>
      <w:start w:val="8"/>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lowerRoman"/>
      <w:start w:val="3"/>
    </w:lvl>
  </w:abstractNum>
  <w:abstractNum w:abstractNumId="17">
    <w:nsid w:val="3F2DBA31"/>
    <w:multiLevelType w:val="hybridMultilevel"/>
    <w:lvl w:ilvl="0">
      <w:lvlJc w:val="left"/>
      <w:lvlText w:val="●"/>
      <w:numFmt w:val="bullet"/>
      <w:start w:val="1"/>
    </w:lvl>
    <w:lvl w:ilvl="1">
      <w:lvlJc w:val="left"/>
      <w:lvlText w:val="\endash "/>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2026-01-23T05:22:30Z</dcterms:created>
  <dcterms:modified xsi:type="dcterms:W3CDTF">2026-01-23T05:22:30Z</dcterms:modified>
</cp:coreProperties>
</file>