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0"/>
        <w:ind w:left="0" w:right="0" w:hanging="0"/>
        <w:jc w:val="left"/>
      </w:pPr>
      <w:hyperlink w:anchor="TOC">
        <w:bookmarkStart w:id="0" w:name="crvs-20260930x10q.htm"/>
        <w:bookmarkStart w:id="1" w:name="kscrvs2026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142" w:before="0" w:after="0"/>
        <w:ind w:left="0" w:right="0" w:hanging="0"/>
        <w:jc w:val="right"/>
        <w:rPr>
          <w:rFonts w:ascii="Times New Roman;Times;serif" w:hAnsi="Times New Roman;Times;serif"/>
          <w:b/>
          <w:sz w:val="20"/>
        </w:rPr>
      </w:pPr>
      <w:bookmarkStart w:id="2" w:name="_5f6dddcf_b390_476a_a19c_9926c7826774"/>
      <w:bookmarkEnd w:id="2"/>
      <w:r>
        <w:rPr>
          <w:rFonts w:ascii="Times New Roman;Times;serif" w:hAnsi="Times New Roman;Times;serif"/>
          <w:b/>
          <w:sz w:val="20"/>
        </w:rPr>
        <w:t>-</w:t>
      </w:r>
    </w:p>
    <w:p>
      <w:pPr>
        <w:pStyle w:val="TextBody"/>
        <w:pBdr>
          <w:top w:val="single" w:sz="24" w:space="1" w:color="000000"/>
          <w:bottom w:val="single" w:sz="2" w:space="1" w:color="000000"/>
        </w:pBdr>
        <w:bidi w:val="0"/>
        <w:spacing w:lineRule="auto" w:line="285" w:before="0" w:after="0"/>
        <w:ind w:left="0" w:right="0" w:hanging="0"/>
        <w:jc w:val="left"/>
      </w:pPr>
      <w:r>
        <w:t>​</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Normal"/>
        <w:bidi w:val="0"/>
        <w:spacing w:before="0" w:after="0"/>
        <w:jc w:val="left"/>
        <w:rPr>
          <w:sz w:val="4"/>
          <w:szCs w:val="4"/>
        </w:rPr>
      </w:pPr>
      <w:r>
        <w:rPr>
          <w:sz w:val="4"/>
          <w:szCs w:val="4"/>
        </w:rPr>
      </w:r>
      <w:bookmarkStart w:id="3" w:name="Tc_ocgnV1pJw02f6-VAnb0myA_3_1"/>
      <w:bookmarkStart w:id="4" w:name="Tc__4mFe95xxUGJUmddiUdEnw_2_0"/>
      <w:bookmarkStart w:id="5" w:name="_16605beb_3c72_423d_b009_c97d1323ab9d"/>
      <w:bookmarkStart w:id="6" w:name="Tc_ocgnV1pJw02f6-VAnb0myA_3_1"/>
      <w:bookmarkStart w:id="7" w:name="Tc__4mFe95xxUGJUmddiUdEnw_2_0"/>
      <w:bookmarkStart w:id="8" w:name="_16605beb_3c72_423d_b009_c97d1323ab9d"/>
      <w:bookmarkEnd w:id="6"/>
      <w:bookmarkEnd w:id="7"/>
      <w:bookmarkEnd w:id="8"/>
    </w:p>
    <w:tbl>
      <w:tblPr>
        <w:tblW w:w="10205" w:type="dxa"/>
        <w:jc w:val="left"/>
        <w:tblInd w:w="0" w:type="dxa"/>
        <w:tblLayout w:type="fixed"/>
        <w:tblCellMar>
          <w:top w:w="0" w:type="dxa"/>
          <w:left w:w="0" w:type="dxa"/>
          <w:bottom w:w="0" w:type="dxa"/>
          <w:right w:w="0" w:type="dxa"/>
        </w:tblCellMar>
      </w:tblPr>
      <w:tblGrid>
        <w:gridCol w:w="972"/>
        <w:gridCol w:w="9233"/>
      </w:tblGrid>
      <w:tr>
        <w:tc>
          <w:tcPr>
            <w:tcW w:w="972" w:type="dxa"/>
            <w:tcBorders/>
            <w:vAlign w:val="center"/>
          </w:tcPr>
          <w:p>
            <w:pPr>
              <w:pStyle w:val="TableContents"/>
              <w:bidi w:val="0"/>
              <w:spacing w:before="0" w:after="283"/>
              <w:ind w:left="0" w:right="0" w:hanging="0"/>
              <w:jc w:val="left"/>
              <w:rPr>
                <w:sz w:val="4"/>
                <w:szCs w:val="4"/>
              </w:rPr>
            </w:pPr>
            <w:r>
              <w:rPr>
                <w:sz w:val="4"/>
                <w:szCs w:val="4"/>
              </w:rPr>
            </w:r>
          </w:p>
        </w:tc>
        <w:tc>
          <w:tcPr>
            <w:tcW w:w="9233" w:type="dxa"/>
            <w:tcBorders/>
            <w:vAlign w:val="center"/>
          </w:tcPr>
          <w:p>
            <w:pPr>
              <w:pStyle w:val="TableContents"/>
              <w:bidi w:val="0"/>
              <w:spacing w:before="0" w:after="283"/>
              <w:ind w:left="0" w:right="0" w:hanging="0"/>
              <w:jc w:val="left"/>
              <w:rPr>
                <w:sz w:val="4"/>
                <w:szCs w:val="4"/>
              </w:rPr>
            </w:pPr>
            <w:r>
              <w:rPr>
                <w:sz w:val="4"/>
                <w:szCs w:val="4"/>
              </w:rPr>
            </w:r>
          </w:p>
        </w:tc>
      </w:tr>
      <w:tr>
        <w:tc>
          <w:tcPr>
            <w:tcW w:w="972" w:type="dxa"/>
            <w:tcBorders/>
            <w:vAlign w:val="center"/>
          </w:tcPr>
          <w:p>
            <w:pPr>
              <w:pStyle w:val="TableContents"/>
              <w:bidi w:val="0"/>
              <w:spacing w:before="0" w:after="283"/>
              <w:ind w:left="0" w:right="0" w:hanging="0"/>
              <w:jc w:val="left"/>
              <w:rPr>
                <w:sz w:val="4"/>
                <w:szCs w:val="4"/>
              </w:rPr>
            </w:pPr>
            <w:r>
              <w:rPr>
                <w:sz w:val="4"/>
                <w:szCs w:val="4"/>
              </w:rPr>
            </w:r>
          </w:p>
        </w:tc>
        <w:tc>
          <w:tcPr>
            <w:tcW w:w="9233" w:type="dxa"/>
            <w:tcBorders/>
            <w:vAlign w:val="center"/>
          </w:tcPr>
          <w:p>
            <w:pPr>
              <w:pStyle w:val="TableContents"/>
              <w:bidi w:val="0"/>
              <w:spacing w:before="0" w:after="283"/>
              <w:ind w:left="0" w:right="0" w:hanging="0"/>
              <w:jc w:val="left"/>
              <w:rPr>
                <w:sz w:val="4"/>
                <w:szCs w:val="4"/>
              </w:rPr>
            </w:pPr>
            <w:r>
              <w:rPr>
                <w:sz w:val="4"/>
                <w:szCs w:val="4"/>
              </w:rPr>
            </w:r>
          </w:p>
        </w:tc>
      </w:tr>
      <w:tr>
        <w:tc>
          <w:tcPr>
            <w:tcW w:w="972"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(Mark One)</w:t>
            </w:r>
          </w:p>
        </w:tc>
        <w:tc>
          <w:tcPr>
            <w:tcW w:w="9233" w:type="dxa"/>
            <w:tcBorders/>
            <w:vAlign w:val="center"/>
          </w:tcPr>
          <w:p>
            <w:pPr>
              <w:pStyle w:val="TableContents"/>
              <w:bidi w:val="0"/>
              <w:spacing w:lineRule="auto" w:line="285" w:before="0" w:after="0"/>
              <w:ind w:left="0" w:right="0" w:hanging="0"/>
              <w:jc w:val="left"/>
            </w:pPr>
            <w:r>
              <w:t>​</w:t>
            </w:r>
          </w:p>
        </w:tc>
      </w:tr>
      <w:tr>
        <w:tc>
          <w:tcPr>
            <w:tcW w:w="972" w:type="dxa"/>
            <w:tcBorders/>
            <w:vAlign w:val="center"/>
          </w:tcPr>
          <w:p>
            <w:pPr>
              <w:pStyle w:val="TableContents"/>
              <w:bidi w:val="0"/>
              <w:spacing w:lineRule="auto" w:line="285" w:before="0" w:after="0"/>
              <w:ind w:left="0" w:right="0" w:hanging="0"/>
              <w:jc w:val="center"/>
            </w:pPr>
            <w:r>
              <w:t>☒</w:t>
            </w:r>
          </w:p>
        </w:tc>
        <w:tc>
          <w:tcPr>
            <w:tcW w:w="9233" w:type="dxa"/>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2026</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Normal"/>
        <w:bidi w:val="0"/>
        <w:spacing w:before="0" w:after="0"/>
        <w:jc w:val="left"/>
        <w:rPr>
          <w:sz w:val="4"/>
          <w:szCs w:val="4"/>
        </w:rPr>
      </w:pPr>
      <w:r>
        <w:rPr>
          <w:sz w:val="4"/>
          <w:szCs w:val="4"/>
        </w:rPr>
      </w:r>
      <w:bookmarkStart w:id="9" w:name="Tc_I61fZVdIpEiFQG4QJ80z1w_1_1"/>
      <w:bookmarkStart w:id="10" w:name="_d463563d_0e7c_4972_a1a3_960078333963"/>
      <w:bookmarkStart w:id="11" w:name="Tc_I61fZVdIpEiFQG4QJ80z1w_1_1"/>
      <w:bookmarkStart w:id="12" w:name="_d463563d_0e7c_4972_a1a3_960078333963"/>
      <w:bookmarkEnd w:id="11"/>
      <w:bookmarkEnd w:id="12"/>
    </w:p>
    <w:tbl>
      <w:tblPr>
        <w:tblW w:w="10205" w:type="dxa"/>
        <w:jc w:val="left"/>
        <w:tblInd w:w="0" w:type="dxa"/>
        <w:tblLayout w:type="fixed"/>
        <w:tblCellMar>
          <w:top w:w="0" w:type="dxa"/>
          <w:left w:w="0" w:type="dxa"/>
          <w:bottom w:w="0" w:type="dxa"/>
          <w:right w:w="0" w:type="dxa"/>
        </w:tblCellMar>
      </w:tblPr>
      <w:tblGrid>
        <w:gridCol w:w="331"/>
        <w:gridCol w:w="9874"/>
      </w:tblGrid>
      <w:t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c>
          <w:tcPr>
            <w:tcW w:w="331" w:type="dxa"/>
            <w:tcBorders/>
            <w:vAlign w:val="center"/>
          </w:tcPr>
          <w:p>
            <w:pPr>
              <w:pStyle w:val="TableContents"/>
              <w:bidi w:val="0"/>
              <w:spacing w:lineRule="auto" w:line="285" w:before="0" w:after="140"/>
              <w:ind w:left="0" w:right="0" w:hanging="0"/>
              <w:jc w:val="center"/>
            </w:pPr>
            <w:r>
              <w:t>☐</w:t>
            </w:r>
          </w:p>
        </w:tc>
        <w:tc>
          <w:tcPr>
            <w:tcW w:w="9874" w:type="dxa"/>
            <w:tcBorders/>
            <w:vAlign w:val="center"/>
          </w:tcPr>
          <w:p>
            <w:pPr>
              <w:pStyle w:val="TableContents"/>
              <w:bidi w:val="0"/>
              <w:spacing w:lineRule="auto" w:line="285" w:before="0" w:after="140"/>
              <w:ind w:left="0" w:right="0" w:hanging="0"/>
              <w:jc w:val="left"/>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bl>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001-37719</w:t>
      </w:r>
    </w:p>
    <w:p>
      <w:pPr>
        <w:pStyle w:val="TextBody"/>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Corvus Pharmaceuticals, Inc.</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Normal"/>
        <w:bidi w:val="0"/>
        <w:spacing w:before="0" w:after="0"/>
        <w:jc w:val="left"/>
        <w:rPr>
          <w:sz w:val="4"/>
          <w:szCs w:val="4"/>
        </w:rPr>
      </w:pPr>
      <w:r>
        <w:rPr>
          <w:sz w:val="4"/>
          <w:szCs w:val="4"/>
        </w:rPr>
      </w:r>
      <w:bookmarkStart w:id="13" w:name="Tc_tnCfPb8A1EOSUSO8V6zC7w_2_2"/>
      <w:bookmarkStart w:id="14" w:name="Tc_0i-fct2xx0ee-nRHSmeEIQ_2_0"/>
      <w:bookmarkStart w:id="15" w:name="_6de74f18_6174_4703_9cdb_b2c853f8b983"/>
      <w:bookmarkStart w:id="16" w:name="Tc_tnCfPb8A1EOSUSO8V6zC7w_2_2"/>
      <w:bookmarkStart w:id="17" w:name="Tc_0i-fct2xx0ee-nRHSmeEIQ_2_0"/>
      <w:bookmarkStart w:id="18" w:name="_6de74f18_6174_4703_9cdb_b2c853f8b983"/>
      <w:bookmarkEnd w:id="16"/>
      <w:bookmarkEnd w:id="17"/>
      <w:bookmarkEnd w:id="18"/>
    </w:p>
    <w:tbl>
      <w:tblPr>
        <w:tblW w:w="4551" w:type="dxa"/>
        <w:jc w:val="left"/>
        <w:tblInd w:w="0" w:type="dxa"/>
        <w:tblLayout w:type="fixed"/>
        <w:tblCellMar>
          <w:top w:w="0" w:type="dxa"/>
          <w:left w:w="0" w:type="dxa"/>
          <w:bottom w:w="0" w:type="dxa"/>
          <w:right w:w="0" w:type="dxa"/>
        </w:tblCellMar>
      </w:tblPr>
      <w:tblGrid>
        <w:gridCol w:w="2791"/>
        <w:gridCol w:w="109"/>
        <w:gridCol w:w="1651"/>
      </w:tblGrid>
      <w:t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772285" cy="29210"/>
                      <wp:effectExtent l="0" t="0" r="0" b="0"/>
                      <wp:wrapNone/>
                      <wp:docPr id="1" name="Frame1"/>
                      <a:graphic xmlns:a="http://schemas.openxmlformats.org/drawingml/2006/main">
                        <a:graphicData uri="http://schemas.microsoft.com/office/word/2010/wordprocessingShape">
                          <wps:wsp>
                            <wps:cNvSpPr txBox="1"/>
                            <wps:spPr>
                              <a:xfrm>
                                <a:off x="0" y="0"/>
                                <a:ext cx="1772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9215" cy="29210"/>
                      <wp:effectExtent l="0" t="0" r="0" b="0"/>
                      <wp:wrapNone/>
                      <wp:docPr id="2" name="Frame2"/>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048385" cy="29210"/>
                      <wp:effectExtent l="0" t="0" r="0" b="0"/>
                      <wp:wrapNone/>
                      <wp:docPr id="3" name="Frame3"/>
                      <a:graphic xmlns:a="http://schemas.openxmlformats.org/drawingml/2006/main">
                        <a:graphicData uri="http://schemas.microsoft.com/office/word/2010/wordprocessingShape">
                          <wps:wsp>
                            <wps:cNvSpPr txBox="1"/>
                            <wps:spPr>
                              <a:xfrm>
                                <a:off x="0" y="0"/>
                                <a:ext cx="1048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c>
          <w:tcPr>
            <w:tcW w:w="279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46-4670809</w:t>
            </w:r>
          </w:p>
        </w:tc>
      </w:tr>
      <w:tr>
        <w:tc>
          <w:tcPr>
            <w:tcW w:w="279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(State or other jurisdiction </w:t>
            </w:r>
          </w:p>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of incorporation or organization)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lineRule="auto" w:line="285" w:before="0" w:after="0"/>
        <w:ind w:left="0" w:right="0" w:hanging="0"/>
        <w:jc w:val="left"/>
      </w:pPr>
      <w:r>
        <w:t>​</w:t>
      </w:r>
    </w:p>
    <w:p>
      <w:pPr>
        <w:pStyle w:val="Normal"/>
        <w:bidi w:val="0"/>
        <w:spacing w:before="0" w:after="0"/>
        <w:jc w:val="left"/>
        <w:rPr>
          <w:sz w:val="4"/>
          <w:szCs w:val="4"/>
        </w:rPr>
      </w:pPr>
      <w:r>
        <w:rPr>
          <w:sz w:val="4"/>
          <w:szCs w:val="4"/>
        </w:rPr>
      </w:r>
      <w:bookmarkStart w:id="19" w:name="Tc_tsmHqWbomEiOuweAGdxiVg_2_1"/>
      <w:bookmarkStart w:id="20" w:name="Tc_miqxJurdz0C4WsOsDnDYqg_2_0"/>
      <w:bookmarkStart w:id="21" w:name="Tc_wZAzd8S4h0u6zjCIzGlMFg_1_0"/>
      <w:bookmarkStart w:id="22" w:name="_2bcf8bbe_d280_41cd_81ee_10d88bbe6625"/>
      <w:bookmarkStart w:id="23" w:name="Tc_tsmHqWbomEiOuweAGdxiVg_2_1"/>
      <w:bookmarkStart w:id="24" w:name="Tc_miqxJurdz0C4WsOsDnDYqg_2_0"/>
      <w:bookmarkStart w:id="25" w:name="Tc_wZAzd8S4h0u6zjCIzGlMFg_1_0"/>
      <w:bookmarkStart w:id="26" w:name="_2bcf8bbe_d280_41cd_81ee_10d88bbe6625"/>
      <w:bookmarkEnd w:id="23"/>
      <w:bookmarkEnd w:id="24"/>
      <w:bookmarkEnd w:id="25"/>
      <w:bookmarkEnd w:id="26"/>
    </w:p>
    <w:tbl>
      <w:tblPr>
        <w:tblW w:w="4292" w:type="dxa"/>
        <w:jc w:val="left"/>
        <w:tblInd w:w="0" w:type="dxa"/>
        <w:tblLayout w:type="fixed"/>
        <w:tblCellMar>
          <w:top w:w="0" w:type="dxa"/>
          <w:left w:w="0" w:type="dxa"/>
          <w:bottom w:w="0" w:type="dxa"/>
          <w:right w:w="0" w:type="dxa"/>
        </w:tblCellMar>
      </w:tblPr>
      <w:tblGrid>
        <w:gridCol w:w="3301"/>
        <w:gridCol w:w="991"/>
      </w:tblGrid>
      <w:t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96135" cy="591820"/>
                      <wp:effectExtent l="0" t="0" r="0" b="0"/>
                      <wp:wrapNone/>
                      <wp:docPr id="4" name="Frame4"/>
                      <a:graphic xmlns:a="http://schemas.openxmlformats.org/drawingml/2006/main">
                        <a:graphicData uri="http://schemas.microsoft.com/office/word/2010/wordprocessingShape">
                          <wps:wsp>
                            <wps:cNvSpPr txBox="1"/>
                            <wps:spPr>
                              <a:xfrm>
                                <a:off x="0" y="0"/>
                                <a:ext cx="2096135" cy="591820"/>
                              </a:xfrm>
                              <a:prstGeom prst="rect"/>
                              <a:solidFill>
                                <a:srgbClr val="FFFFFF"/>
                              </a:solidFill>
                            </wps:spPr>
                            <wps:txbx>
                              <w:txbxContent>
                                <w:p>
                                  <w:pPr>
                                    <w:pStyle w:val="TableContents"/>
                                    <w:bidi w:val="0"/>
                                    <w:spacing w:lineRule="auto" w:line="285" w:before="0" w:after="0"/>
                                    <w:ind w:left="0" w:right="0" w:hanging="0"/>
                                    <w:jc w:val="left"/>
                                  </w:pPr>
                                  <w:r>
                                    <w:t>​</w:t>
                                  </w:r>
                                </w:p>
                                <w:p>
                                  <w:pPr>
                                    <w:pStyle w:val="TableContents"/>
                                    <w:bidi w:val="0"/>
                                    <w:spacing w:lineRule="auto" w:line="285" w:before="0" w:after="0"/>
                                    <w:ind w:left="0" w:right="0" w:hanging="0"/>
                                    <w:jc w:val="left"/>
                                  </w:pPr>
                                  <w:r>
                                    <w:t>​</w:t>
                                  </w:r>
                                </w:p>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46.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p>
                            <w:pPr>
                              <w:pStyle w:val="TableContents"/>
                              <w:bidi w:val="0"/>
                              <w:spacing w:lineRule="auto" w:line="285" w:before="0" w:after="0"/>
                              <w:ind w:left="0" w:right="0" w:hanging="0"/>
                              <w:jc w:val="left"/>
                            </w:pPr>
                            <w:r>
                              <w:t>​</w:t>
                            </w:r>
                          </w:p>
                          <w:p>
                            <w:pPr>
                              <w:pStyle w:val="TableContents"/>
                              <w:bidi w:val="0"/>
                              <w:spacing w:lineRule="auto" w:line="285" w:before="0" w:after="0"/>
                              <w:ind w:left="0" w:right="0" w:hanging="0"/>
                              <w:jc w:val="left"/>
                            </w:pPr>
                            <w: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29285" cy="29210"/>
                      <wp:effectExtent l="0" t="0" r="0" b="0"/>
                      <wp:wrapNone/>
                      <wp:docPr id="5" name="Frame5"/>
                      <a:graphic xmlns:a="http://schemas.openxmlformats.org/drawingml/2006/main">
                        <a:graphicData uri="http://schemas.microsoft.com/office/word/2010/wordprocessingShape">
                          <wps:wsp>
                            <wps:cNvSpPr txBox="1"/>
                            <wps:spPr>
                              <a:xfrm>
                                <a:off x="0" y="0"/>
                                <a:ext cx="629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c>
          <w:tcPr>
            <w:tcW w:w="330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901 Gateway Boulevard, Third Floor</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South San Francisco, CA</w:t>
            </w:r>
          </w:p>
        </w:tc>
        <w:tc>
          <w:tcPr>
            <w:tcW w:w="99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94080</w:t>
            </w:r>
          </w:p>
        </w:tc>
      </w:tr>
      <w:tr>
        <w:tc>
          <w:tcPr>
            <w:tcW w:w="330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9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(650) 900-4520</w:t>
      </w:r>
    </w:p>
    <w:p>
      <w:pPr>
        <w:pStyle w:val="TextBody"/>
        <w:bidi w:val="0"/>
        <w:spacing w:lineRule="auto" w:line="285" w:before="0" w:after="12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 N/A</w:t>
      </w:r>
    </w:p>
    <w:p>
      <w:pPr>
        <w:pStyle w:val="TextBody"/>
        <w:bidi w:val="0"/>
        <w:spacing w:lineRule="auto" w:line="285" w:before="0" w:after="14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27" w:name="Tc_2bIwyjrBjUqAQD28LejQmw_1_2"/>
      <w:bookmarkStart w:id="28" w:name="Tc_D2eq5etLYEy6d2k34lf9wg_1_1"/>
      <w:bookmarkStart w:id="29" w:name="Tc_e_37gUn1bkOAMtsTnGs6oA_1_0"/>
      <w:bookmarkStart w:id="30" w:name="_142fd533_b305_4ece_a9e7_3937e6be35c3"/>
      <w:bookmarkStart w:id="31" w:name="Tc_2bIwyjrBjUqAQD28LejQmw_1_2"/>
      <w:bookmarkStart w:id="32" w:name="Tc_D2eq5etLYEy6d2k34lf9wg_1_1"/>
      <w:bookmarkStart w:id="33" w:name="Tc_e_37gUn1bkOAMtsTnGs6oA_1_0"/>
      <w:bookmarkStart w:id="34" w:name="_142fd533_b305_4ece_a9e7_3937e6be35c3"/>
      <w:bookmarkEnd w:id="31"/>
      <w:bookmarkEnd w:id="32"/>
      <w:bookmarkEnd w:id="33"/>
      <w:bookmarkEnd w:id="34"/>
    </w:p>
    <w:tbl>
      <w:tblPr>
        <w:tblW w:w="9033" w:type="dxa"/>
        <w:jc w:val="left"/>
        <w:tblInd w:w="0" w:type="dxa"/>
        <w:tblLayout w:type="fixed"/>
        <w:tblCellMar>
          <w:top w:w="0" w:type="dxa"/>
          <w:left w:w="0" w:type="dxa"/>
          <w:bottom w:w="29" w:type="dxa"/>
          <w:right w:w="0" w:type="dxa"/>
        </w:tblCellMar>
      </w:tblPr>
      <w:tblGrid>
        <w:gridCol w:w="3736"/>
        <w:gridCol w:w="1591"/>
        <w:gridCol w:w="3706"/>
      </w:tblGrid>
      <w:tr>
        <w:tc>
          <w:tcPr>
            <w:tcW w:w="3736" w:type="dxa"/>
            <w:tcBorders>
              <w:bottom w:val="single" w:sz="2" w:space="0" w:color="000000"/>
            </w:tcBorders>
            <w:vAlign w:val="center"/>
          </w:tcPr>
          <w:p>
            <w:pPr>
              <w:pStyle w:val="TableContents"/>
              <w:bidi w:val="0"/>
              <w:spacing w:lineRule="auto" w:line="285" w:before="0" w:after="0"/>
              <w:ind w:left="0" w:right="0" w:hanging="0"/>
              <w:jc w:val="left"/>
            </w:pPr>
            <w:r>
              <w:t>​</w:t>
            </w:r>
          </w:p>
        </w:tc>
        <w:tc>
          <w:tcPr>
            <w:tcW w:w="1591" w:type="dxa"/>
            <w:tcBorders>
              <w:bottom w:val="single" w:sz="2" w:space="0" w:color="000000"/>
            </w:tcBorders>
            <w:vAlign w:val="center"/>
          </w:tcPr>
          <w:p>
            <w:pPr>
              <w:pStyle w:val="TableContents"/>
              <w:bidi w:val="0"/>
              <w:spacing w:lineRule="auto" w:line="285" w:before="0" w:after="0"/>
              <w:ind w:left="0" w:right="0" w:hanging="0"/>
              <w:jc w:val="left"/>
            </w:pPr>
            <w:r>
              <w:t>​</w:t>
            </w:r>
          </w:p>
        </w:tc>
        <w:tc>
          <w:tcPr>
            <w:tcW w:w="3706" w:type="dxa"/>
            <w:tcBorders>
              <w:bottom w:val="single" w:sz="2" w:space="0" w:color="000000"/>
            </w:tcBorders>
            <w:vAlign w:val="center"/>
          </w:tcPr>
          <w:p>
            <w:pPr>
              <w:pStyle w:val="TableContents"/>
              <w:bidi w:val="0"/>
              <w:spacing w:lineRule="auto" w:line="285" w:before="0" w:after="0"/>
              <w:ind w:left="0" w:right="0" w:hanging="0"/>
              <w:jc w:val="left"/>
            </w:pPr>
            <w:r>
              <w:t>​</w:t>
            </w:r>
          </w:p>
        </w:tc>
      </w:tr>
      <w:tr>
        <w:tc>
          <w:tcPr>
            <w:tcW w:w="3736" w:type="dxa"/>
            <w:tcBorders>
              <w:top w:val="single" w:sz="2" w:space="0" w:color="000000"/>
              <w:left w:val="single" w:sz="2" w:space="0" w:color="000000"/>
              <w:bottom w:val="single" w:sz="2" w:space="0" w:color="000000"/>
              <w:right w:val="single" w:sz="2" w:space="0" w:color="000000"/>
            </w:tcBorders>
            <w:tcMar>
              <w:top w:w="29" w:type="dxa"/>
              <w:left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91" w:type="dxa"/>
            <w:tcBorders>
              <w:top w:val="single" w:sz="2" w:space="0" w:color="000000"/>
              <w:left w:val="single" w:sz="2" w:space="0" w:color="000000"/>
              <w:bottom w:val="single" w:sz="2" w:space="0" w:color="000000"/>
              <w:right w:val="single" w:sz="2" w:space="0" w:color="000000"/>
            </w:tcBorders>
            <w:tcMar>
              <w:top w:w="29" w:type="dxa"/>
              <w:left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9" w:type="dxa"/>
              <w:left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c>
          <w:tcPr>
            <w:tcW w:w="3736" w:type="dxa"/>
            <w:tcBorders>
              <w:top w:val="single" w:sz="2" w:space="0" w:color="000000"/>
              <w:left w:val="single" w:sz="2" w:space="0" w:color="000000"/>
              <w:bottom w:val="single" w:sz="2" w:space="0" w:color="000000"/>
              <w:right w:val="single" w:sz="2" w:space="0" w:color="000000"/>
            </w:tcBorders>
            <w:tcMar>
              <w:top w:w="29" w:type="dxa"/>
              <w:left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1591" w:type="dxa"/>
            <w:tcBorders>
              <w:top w:val="single" w:sz="2" w:space="0" w:color="000000"/>
              <w:left w:val="single" w:sz="2" w:space="0" w:color="000000"/>
              <w:bottom w:val="single" w:sz="2" w:space="0" w:color="000000"/>
              <w:right w:val="single" w:sz="2" w:space="0" w:color="000000"/>
            </w:tcBorders>
            <w:tcMar>
              <w:top w:w="29" w:type="dxa"/>
              <w:left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CRVS</w:t>
            </w:r>
          </w:p>
        </w:tc>
        <w:tc>
          <w:tcPr>
            <w:tcW w:w="3706" w:type="dxa"/>
            <w:tcBorders>
              <w:top w:val="single" w:sz="2" w:space="0" w:color="000000"/>
              <w:left w:val="single" w:sz="2" w:space="0" w:color="000000"/>
              <w:bottom w:val="single" w:sz="2" w:space="0" w:color="000000"/>
              <w:right w:val="single" w:sz="2" w:space="0" w:color="000000"/>
            </w:tcBorders>
            <w:tcMar>
              <w:top w:w="29" w:type="dxa"/>
              <w:left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Nasdaq Global Market</w:t>
            </w:r>
          </w:p>
        </w:tc>
      </w:tr>
    </w:tbl>
    <w:p>
      <w:pPr>
        <w:pStyle w:val="TextBody"/>
        <w:bidi w:val="0"/>
        <w:spacing w:lineRule="auto" w:line="285" w:before="0" w:after="0"/>
        <w:ind w:left="0" w:right="0" w:hanging="0"/>
        <w:jc w:val="left"/>
      </w:pPr>
      <w:r>
        <w:t>​</w:t>
      </w:r>
    </w:p>
    <w:p>
      <w:pPr>
        <w:pStyle w:val="TextBody"/>
        <w:bidi w:val="0"/>
        <w:spacing w:lineRule="auto" w:line="285" w:before="0" w:after="14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5" w:before="0" w:after="10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5" w:before="0" w:after="8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32" w:type="dxa"/>
        <w:jc w:val="left"/>
        <w:tblInd w:w="0" w:type="dxa"/>
        <w:tblLayout w:type="fixed"/>
        <w:tblCellMar>
          <w:top w:w="0" w:type="dxa"/>
          <w:left w:w="0" w:type="dxa"/>
          <w:bottom w:w="0" w:type="dxa"/>
          <w:right w:w="0" w:type="dxa"/>
        </w:tblCellMar>
      </w:tblPr>
      <w:tblGrid>
        <w:gridCol w:w="2551"/>
        <w:gridCol w:w="2581"/>
      </w:tblGrid>
      <w:t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619885" cy="29210"/>
                      <wp:effectExtent l="0" t="0" r="0" b="0"/>
                      <wp:wrapNone/>
                      <wp:docPr id="6" name="Frame6"/>
                      <a:graphic xmlns:a="http://schemas.openxmlformats.org/drawingml/2006/main">
                        <a:graphicData uri="http://schemas.microsoft.com/office/word/2010/wordprocessingShape">
                          <wps:wsp>
                            <wps:cNvSpPr txBox="1"/>
                            <wps:spPr>
                              <a:xfrm>
                                <a:off x="0" y="0"/>
                                <a:ext cx="1619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638935" cy="29210"/>
                      <wp:effectExtent l="0" t="0" r="0" b="0"/>
                      <wp:wrapNone/>
                      <wp:docPr id="7" name="Frame7"/>
                      <a:graphic xmlns:a="http://schemas.openxmlformats.org/drawingml/2006/main">
                        <a:graphicData uri="http://schemas.microsoft.com/office/word/2010/wordprocessingShape">
                          <wps:wsp>
                            <wps:cNvSpPr txBox="1"/>
                            <wps:spPr>
                              <a:xfrm>
                                <a:off x="0" y="0"/>
                                <a:ext cx="1638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c>
          <w:tcPr>
            <w:tcW w:w="2551" w:type="dxa"/>
            <w:tcBorders/>
            <w:vAlign w:val="center"/>
          </w:tcPr>
          <w:p>
            <w:pPr>
              <w:pStyle w:val="TableContents"/>
              <w:pBdr/>
              <w:bidi w:val="0"/>
              <w:spacing w:lineRule="auto" w:line="285" w:before="0" w:after="14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2581" w:type="dxa"/>
            <w:tcBorders/>
            <w:vAlign w:val="center"/>
          </w:tcPr>
          <w:p>
            <w:pPr>
              <w:pStyle w:val="TableContents"/>
              <w:bidi w:val="0"/>
              <w:spacing w:lineRule="auto" w:line="285" w:before="0" w:after="8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c>
          <w:tcPr>
            <w:tcW w:w="2551" w:type="dxa"/>
            <w:tcBorders/>
            <w:vAlign w:val="center"/>
          </w:tcPr>
          <w:p>
            <w:pPr>
              <w:pStyle w:val="TableContents"/>
              <w:pBdr/>
              <w:bidi w:val="0"/>
              <w:spacing w:lineRule="auto" w:line="285" w:before="0" w:after="14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2581" w:type="dxa"/>
            <w:tcBorders/>
            <w:vAlign w:val="center"/>
          </w:tcPr>
          <w:p>
            <w:pPr>
              <w:pStyle w:val="TableContents"/>
              <w:bidi w:val="0"/>
              <w:spacing w:lineRule="auto" w:line="285" w:before="0" w:after="14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c>
          <w:tcPr>
            <w:tcW w:w="2551" w:type="dxa"/>
            <w:tcBorders/>
            <w:vAlign w:val="center"/>
          </w:tcPr>
          <w:p>
            <w:pPr>
              <w:pStyle w:val="TableContents"/>
              <w:pBdr/>
              <w:bidi w:val="0"/>
              <w:spacing w:lineRule="auto" w:line="285" w:before="0" w:after="8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c>
          <w:tcPr>
            <w:tcW w:w="2581" w:type="dxa"/>
            <w:tcBorders/>
            <w:vAlign w:val="center"/>
          </w:tcPr>
          <w:p>
            <w:pPr>
              <w:pStyle w:val="TableContents"/>
              <w:bidi w:val="0"/>
              <w:spacing w:lineRule="auto" w:line="285" w:before="0" w:after="0"/>
              <w:ind w:left="0" w:right="0" w:hanging="0"/>
              <w:jc w:val="center"/>
            </w:pPr>
            <w:r>
              <w:t>​</w:t>
            </w:r>
          </w:p>
        </w:tc>
      </w:tr>
    </w:tbl>
    <w:p>
      <w:pPr>
        <w:pStyle w:val="TextBody"/>
        <w:bidi w:val="0"/>
        <w:spacing w:lineRule="auto" w:line="285" w:before="0" w:after="0"/>
        <w:ind w:left="0" w:right="0" w:hanging="0"/>
        <w:jc w:val="left"/>
      </w:pPr>
      <w:r>
        <w:t>​</w:t>
      </w:r>
    </w:p>
    <w:p>
      <w:pPr>
        <w:pStyle w:val="TextBody"/>
        <w:bidi w:val="0"/>
        <w:spacing w:lineRule="auto" w:line="285" w:before="0" w:after="8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0" w:after="8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lineRule="auto" w:line="285" w:before="0" w:after="60"/>
        <w:ind w:left="0" w:right="0" w:hanging="0"/>
        <w:jc w:val="left"/>
        <w:rPr>
          <w:rFonts w:ascii="Times New Roman;Times;serif" w:hAnsi="Times New Roman;Times;serif"/>
          <w:sz w:val="20"/>
        </w:rPr>
      </w:pPr>
      <w:r>
        <w:rPr>
          <w:rFonts w:ascii="Times New Roman;Times;serif" w:hAnsi="Times New Roman;Times;serif"/>
          <w:sz w:val="20"/>
        </w:rPr>
        <w:t>As of November 5, 2026, 84,353,126 shares of the registrant’s common stock, $0.0001 par value per share, were outstanding.</w:t>
      </w:r>
    </w:p>
    <w:p>
      <w:pPr>
        <w:pStyle w:val="TextBody"/>
        <w:pBdr>
          <w:top w:val="single" w:sz="2" w:space="1" w:color="000000"/>
          <w:bottom w:val="single" w:sz="24" w:space="1" w:color="000000"/>
        </w:pBdr>
        <w:bidi w:val="0"/>
        <w:spacing w:lineRule="auto" w:line="285" w:before="0" w:after="0"/>
        <w:ind w:left="0" w:right="0" w:firstLine="720"/>
        <w:jc w:val="left"/>
      </w:pPr>
      <w:r>
        <w:t>​</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center"/>
      </w:pPr>
      <w:r>
        <w:t>​</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35" w:name="_aa06e5af_4b96_4ccd_ab57_7ce0017f9378"/>
      <w:bookmarkEnd w:id="35"/>
      <w:r>
        <w:rPr>
          <w:rFonts w:ascii="Times New Roman;Times;serif" w:hAnsi="Times New Roman;Times;serif"/>
          <w:b/>
          <w:sz w:val="20"/>
        </w:rPr>
        <w:t>CORVUS PHARMACEUTICALS, INC.</w:t>
      </w:r>
    </w:p>
    <w:p>
      <w:pPr>
        <w:pStyle w:val="TextBody"/>
        <w:bidi w:val="0"/>
        <w:spacing w:lineRule="auto" w:line="285" w:before="0" w:after="0"/>
        <w:ind w:left="0" w:right="0" w:hanging="0"/>
        <w:jc w:val="center"/>
      </w:pPr>
      <w: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QUARTERLY REPORT ON FORM 10-Q FOR THE QUARTER ENDED SEPTEMBER 30, 2026</w:t>
      </w:r>
    </w:p>
    <w:p>
      <w:pPr>
        <w:pStyle w:val="TextBody"/>
        <w:bidi w:val="0"/>
        <w:spacing w:lineRule="auto" w:line="285" w:before="0" w:after="0"/>
        <w:ind w:left="0" w:right="0" w:hanging="0"/>
        <w:jc w:val="center"/>
      </w:pPr>
      <w:r>
        <w:t>​</w:t>
      </w:r>
    </w:p>
    <w:p>
      <w:pPr>
        <w:pStyle w:val="TextBody"/>
        <w:bidi w:val="0"/>
        <w:spacing w:lineRule="auto" w:line="285" w:before="0" w:after="0"/>
        <w:ind w:left="0" w:right="0" w:hanging="0"/>
        <w:jc w:val="center"/>
        <w:rPr>
          <w:rFonts w:ascii="Times New Roman;Times;serif" w:hAnsi="Times New Roman;Times;serif"/>
          <w:b/>
          <w:sz w:val="20"/>
        </w:rPr>
      </w:pPr>
      <w:bookmarkStart w:id="36" w:name="TOC"/>
      <w:bookmarkEnd w:id="36"/>
      <w:r>
        <w:rPr>
          <w:rFonts w:ascii="Times New Roman;Times;serif" w:hAnsi="Times New Roman;Times;serif"/>
          <w:b/>
          <w:sz w:val="20"/>
        </w:rPr>
        <w:t>TABLE OF CONTENTS</w:t>
      </w:r>
    </w:p>
    <w:p>
      <w:pPr>
        <w:pStyle w:val="TextBody"/>
        <w:bidi w:val="0"/>
        <w:spacing w:lineRule="auto" w:line="285" w:before="0" w:after="0"/>
        <w:ind w:left="0" w:right="0" w:hanging="0"/>
        <w:jc w:val="center"/>
      </w:pPr>
      <w:r>
        <w:t>​</w:t>
      </w:r>
    </w:p>
    <w:tbl>
      <w:tblPr>
        <w:tblW w:w="8884" w:type="dxa"/>
        <w:jc w:val="left"/>
        <w:tblInd w:w="0" w:type="dxa"/>
        <w:tblLayout w:type="fixed"/>
        <w:tblCellMar>
          <w:top w:w="0" w:type="dxa"/>
          <w:left w:w="0" w:type="dxa"/>
          <w:bottom w:w="0" w:type="dxa"/>
          <w:right w:w="0" w:type="dxa"/>
        </w:tblCellMar>
      </w:tblPr>
      <w:tblGrid>
        <w:gridCol w:w="811"/>
        <w:gridCol w:w="346"/>
        <w:gridCol w:w="7366"/>
        <w:gridCol w:w="361"/>
      </w:tblGrid>
      <w:tr>
        <w:tc>
          <w:tcPr>
            <w:tcW w:w="8884" w:type="dxa"/>
            <w:gridSpan w:val="4"/>
            <w:tcBorders/>
            <w:vAlign w:val="center"/>
          </w:tcPr>
          <w:p>
            <w:pPr>
              <w:pStyle w:val="TableContents"/>
              <w:bidi w:val="0"/>
              <w:spacing w:lineRule="auto" w:line="285" w:before="0" w:after="0"/>
              <w:ind w:left="0" w:right="0" w:hanging="0"/>
              <w:jc w:val="center"/>
            </w:pPr>
            <w:hyperlink w:anchor="PARTIFINANCIALINFORMATION_671322">
              <w:r>
                <w:rPr>
                  <w:rStyle w:val="InternetLink"/>
                  <w:rFonts w:ascii="Times New Roman;Times;serif" w:hAnsi="Times New Roman;Times;serif"/>
                  <w:b/>
                  <w:i w:val="false"/>
                  <w:caps w:val="false"/>
                  <w:smallCaps w:val="false"/>
                  <w:sz w:val="20"/>
                </w:rPr>
                <w:t>PART I — FINANCIAL INFORMATION</w:t>
              </w:r>
            </w:hyperlink>
          </w:p>
        </w:tc>
      </w:tr>
      <w:tr>
        <w:tc>
          <w:tcPr>
            <w:tcW w:w="81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7366" w:type="dxa"/>
            <w:tcBorders/>
            <w:vAlign w:val="center"/>
          </w:tcPr>
          <w:p>
            <w:pPr>
              <w:pStyle w:val="TableContents"/>
              <w:bidi w:val="0"/>
              <w:spacing w:lineRule="auto" w:line="285" w:before="0" w:after="0"/>
              <w:ind w:left="0" w:right="0" w:hanging="0"/>
              <w:jc w:val="left"/>
            </w:pPr>
            <w:r>
              <w:t>​</w:t>
            </w:r>
          </w:p>
        </w:tc>
        <w:tc>
          <w:tcPr>
            <w:tcW w:w="361" w:type="dxa"/>
            <w:tcBorders/>
            <w:vAlign w:val="center"/>
          </w:tcPr>
          <w:p>
            <w:pPr>
              <w:pStyle w:val="TableContents"/>
              <w:bidi w:val="0"/>
              <w:spacing w:lineRule="auto" w:line="285" w:before="0" w:after="0"/>
              <w:ind w:left="0" w:right="0" w:hanging="0"/>
              <w:jc w:val="right"/>
            </w:pPr>
            <w:r>
              <w:t>​</w:t>
            </w:r>
          </w:p>
        </w:tc>
      </w:tr>
      <w:tr>
        <w:tc>
          <w:tcPr>
            <w:tcW w:w="811" w:type="dxa"/>
            <w:tcBorders/>
            <w:vAlign w:val="center"/>
          </w:tcPr>
          <w:p>
            <w:pPr>
              <w:pStyle w:val="TableContents"/>
              <w:bidi w:val="0"/>
              <w:spacing w:lineRule="auto" w:line="285" w:before="0" w:after="0"/>
              <w:ind w:left="0" w:right="0" w:hanging="0"/>
              <w:jc w:val="left"/>
            </w:pPr>
            <w:hyperlink w:anchor="Item1UnauditedCondensedFinancialStatemen">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lineRule="auto" w:line="285" w:before="0" w:after="0"/>
              <w:ind w:left="0" w:right="0" w:hanging="0"/>
              <w:jc w:val="left"/>
            </w:pPr>
            <w:r>
              <w:t>  ​ ​ ​</w:t>
            </w:r>
          </w:p>
        </w:tc>
        <w:tc>
          <w:tcPr>
            <w:tcW w:w="7366" w:type="dxa"/>
            <w:tcBorders/>
            <w:vAlign w:val="center"/>
          </w:tcPr>
          <w:p>
            <w:pPr>
              <w:pStyle w:val="TableContents"/>
              <w:bidi w:val="0"/>
              <w:spacing w:lineRule="auto" w:line="285" w:before="0" w:after="0"/>
              <w:ind w:left="0" w:right="0" w:hanging="0"/>
              <w:jc w:val="left"/>
            </w:pPr>
            <w:hyperlink w:anchor="Item1UnauditedCondensedFinancialStatemen">
              <w:r>
                <w:rPr>
                  <w:rStyle w:val="InternetLink"/>
                  <w:rFonts w:ascii="Times New Roman;Times;serif" w:hAnsi="Times New Roman;Times;serif"/>
                  <w:b w:val="false"/>
                  <w:i w:val="false"/>
                  <w:caps w:val="false"/>
                  <w:smallCaps w:val="false"/>
                  <w:sz w:val="20"/>
                </w:rPr>
                <w:t>Financial Statements (unaudited)</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c>
          <w:tcPr>
            <w:tcW w:w="81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7366" w:type="dxa"/>
            <w:tcBorders/>
            <w:vAlign w:val="center"/>
          </w:tcPr>
          <w:p>
            <w:pPr>
              <w:pStyle w:val="TableContents"/>
              <w:bidi w:val="0"/>
              <w:spacing w:lineRule="auto" w:line="285" w:before="0" w:after="0"/>
              <w:ind w:left="0" w:right="0" w:hanging="0"/>
              <w:jc w:val="left"/>
            </w:pPr>
            <w:hyperlink w:anchor="CONDENSEDCONSOLIDATEDBALANCESHEETS_89276">
              <w:r>
                <w:rPr>
                  <w:rStyle w:val="InternetLink"/>
                  <w:rFonts w:ascii="Times New Roman;Times;serif" w:hAnsi="Times New Roman;Times;serif"/>
                  <w:b w:val="false"/>
                  <w:i w:val="false"/>
                  <w:caps w:val="false"/>
                  <w:smallCaps w:val="false"/>
                  <w:sz w:val="20"/>
                </w:rPr>
                <w:t>Condensed Consolidated Balance Sheets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c>
          <w:tcPr>
            <w:tcW w:w="81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7366" w:type="dxa"/>
            <w:tcBorders/>
            <w:vAlign w:val="center"/>
          </w:tcPr>
          <w:p>
            <w:pPr>
              <w:pStyle w:val="TableContents"/>
              <w:bidi w:val="0"/>
              <w:spacing w:lineRule="auto" w:line="285" w:before="0" w:after="0"/>
              <w:ind w:left="0" w:right="0" w:hanging="0"/>
              <w:jc w:val="left"/>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and Comprehensive Loss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c>
          <w:tcPr>
            <w:tcW w:w="81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7366" w:type="dxa"/>
            <w:tcBorders/>
            <w:vAlign w:val="center"/>
          </w:tcPr>
          <w:p>
            <w:pPr>
              <w:pStyle w:val="TableContents"/>
              <w:bidi w:val="0"/>
              <w:spacing w:lineRule="auto" w:line="285" w:before="0" w:after="0"/>
              <w:ind w:left="0" w:right="0" w:hanging="0"/>
              <w:jc w:val="left"/>
            </w:pPr>
            <w:hyperlink w:anchor="STOCKHOLDERSEQUITY_96157">
              <w:r>
                <w:rPr>
                  <w:rStyle w:val="InternetLink"/>
                  <w:rFonts w:ascii="Times New Roman;Times;serif" w:hAnsi="Times New Roman;Times;serif"/>
                  <w:b w:val="false"/>
                  <w:i w:val="false"/>
                  <w:caps w:val="false"/>
                  <w:smallCaps w:val="false"/>
                  <w:sz w:val="20"/>
                </w:rPr>
                <w:t>Condensed Consolidated Statements of Changes in Stockholders’ Equity</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c>
          <w:tcPr>
            <w:tcW w:w="81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7366" w:type="dxa"/>
            <w:tcBorders/>
            <w:vAlign w:val="center"/>
          </w:tcPr>
          <w:p>
            <w:pPr>
              <w:pStyle w:val="TableContents"/>
              <w:bidi w:val="0"/>
              <w:spacing w:lineRule="auto" w:line="285" w:before="0" w:after="0"/>
              <w:ind w:left="0" w:right="0" w:hanging="0"/>
              <w:jc w:val="left"/>
            </w:pPr>
            <w:hyperlink w:anchor="STATEMENTSOFCASHFLOWS_192557">
              <w:r>
                <w:rPr>
                  <w:rStyle w:val="InternetLink"/>
                  <w:rFonts w:ascii="Times New Roman;Times;serif" w:hAnsi="Times New Roman;Times;serif"/>
                  <w:b w:val="false"/>
                  <w:i w:val="false"/>
                  <w:caps w:val="false"/>
                  <w:smallCaps w:val="false"/>
                  <w:sz w:val="20"/>
                </w:rPr>
                <w:t>Condensed Consolidated Statements of Cash Flows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c>
          <w:tcPr>
            <w:tcW w:w="81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7366" w:type="dxa"/>
            <w:tcBorders/>
            <w:vAlign w:val="center"/>
          </w:tcPr>
          <w:p>
            <w:pPr>
              <w:pStyle w:val="TableContents"/>
              <w:bidi w:val="0"/>
              <w:spacing w:lineRule="auto" w:line="285" w:before="0" w:after="0"/>
              <w:ind w:left="0" w:right="0" w:hanging="0"/>
              <w:jc w:val="left"/>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c>
          <w:tcPr>
            <w:tcW w:w="811" w:type="dxa"/>
            <w:tcBorders/>
            <w:vAlign w:val="center"/>
          </w:tcPr>
          <w:p>
            <w:pPr>
              <w:pStyle w:val="TableContents"/>
              <w:bidi w:val="0"/>
              <w:spacing w:lineRule="auto" w:line="285" w:before="0" w:after="0"/>
              <w:ind w:left="0" w:right="0" w:hanging="0"/>
              <w:jc w:val="left"/>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lineRule="auto" w:line="285" w:before="0" w:after="0"/>
              <w:ind w:left="0" w:right="0" w:hanging="0"/>
              <w:jc w:val="left"/>
            </w:pPr>
            <w:r>
              <w:t>​</w:t>
            </w:r>
          </w:p>
        </w:tc>
        <w:tc>
          <w:tcPr>
            <w:tcW w:w="7366" w:type="dxa"/>
            <w:tcBorders/>
            <w:vAlign w:val="center"/>
          </w:tcPr>
          <w:p>
            <w:pPr>
              <w:pStyle w:val="TableContents"/>
              <w:bidi w:val="0"/>
              <w:spacing w:lineRule="auto" w:line="285" w:before="0" w:after="0"/>
              <w:ind w:left="0" w:right="0" w:hanging="0"/>
              <w:jc w:val="left"/>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c>
          <w:tcPr>
            <w:tcW w:w="811" w:type="dxa"/>
            <w:tcBorders/>
            <w:vAlign w:val="center"/>
          </w:tcPr>
          <w:p>
            <w:pPr>
              <w:pStyle w:val="TableContents"/>
              <w:bidi w:val="0"/>
              <w:spacing w:lineRule="auto" w:line="285" w:before="0" w:after="0"/>
              <w:ind w:left="0" w:right="0" w:hanging="0"/>
              <w:jc w:val="left"/>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lineRule="auto" w:line="285" w:before="0" w:after="0"/>
              <w:ind w:left="0" w:right="0" w:hanging="0"/>
              <w:jc w:val="left"/>
            </w:pPr>
            <w:r>
              <w:t>​</w:t>
            </w:r>
          </w:p>
        </w:tc>
        <w:tc>
          <w:tcPr>
            <w:tcW w:w="7366" w:type="dxa"/>
            <w:tcBorders/>
            <w:vAlign w:val="center"/>
          </w:tcPr>
          <w:p>
            <w:pPr>
              <w:pStyle w:val="TableContents"/>
              <w:bidi w:val="0"/>
              <w:spacing w:lineRule="auto" w:line="285" w:before="0" w:after="0"/>
              <w:ind w:left="0" w:right="0" w:hanging="0"/>
              <w:jc w:val="left"/>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c>
          <w:tcPr>
            <w:tcW w:w="811" w:type="dxa"/>
            <w:tcBorders/>
            <w:vAlign w:val="center"/>
          </w:tcPr>
          <w:p>
            <w:pPr>
              <w:pStyle w:val="TableContents"/>
              <w:bidi w:val="0"/>
              <w:spacing w:lineRule="auto" w:line="285" w:before="0" w:after="0"/>
              <w:ind w:left="0" w:right="0" w:hanging="0"/>
              <w:jc w:val="left"/>
            </w:pPr>
            <w:hyperlink w:anchor="Item4ControlsandProcedures_996727">
              <w:r>
                <w:rPr>
                  <w:rStyle w:val="InternetLink"/>
                  <w:rFonts w:ascii="Times New Roman;Times;serif" w:hAnsi="Times New Roman;Times;serif"/>
                  <w:b w:val="false"/>
                  <w:i w:val="false"/>
                  <w:caps w:val="false"/>
                  <w:smallCaps w:val="false"/>
                  <w:sz w:val="20"/>
                </w:rPr>
                <w:t>Item 4</w:t>
              </w:r>
            </w:hyperlink>
            <w:r>
              <w:rPr>
                <w:rFonts w:ascii="Times New Roman;Times;serif" w:hAnsi="Times New Roman;Times;serif"/>
                <w:sz w:val="20"/>
              </w:rPr>
              <w:t>.</w:t>
            </w:r>
          </w:p>
        </w:tc>
        <w:tc>
          <w:tcPr>
            <w:tcW w:w="346" w:type="dxa"/>
            <w:tcBorders/>
            <w:vAlign w:val="center"/>
          </w:tcPr>
          <w:p>
            <w:pPr>
              <w:pStyle w:val="TableContents"/>
              <w:bidi w:val="0"/>
              <w:spacing w:lineRule="auto" w:line="285" w:before="0" w:after="0"/>
              <w:ind w:left="0" w:right="0" w:hanging="0"/>
              <w:jc w:val="left"/>
            </w:pPr>
            <w:r>
              <w:t>​</w:t>
            </w:r>
          </w:p>
        </w:tc>
        <w:tc>
          <w:tcPr>
            <w:tcW w:w="7366" w:type="dxa"/>
            <w:tcBorders/>
            <w:vAlign w:val="center"/>
          </w:tcPr>
          <w:p>
            <w:pPr>
              <w:pStyle w:val="TableContents"/>
              <w:bidi w:val="0"/>
              <w:spacing w:lineRule="auto" w:line="285" w:before="0" w:after="0"/>
              <w:ind w:left="0" w:right="0" w:hanging="0"/>
              <w:jc w:val="left"/>
            </w:pPr>
            <w:hyperlink w:anchor="Item4ControlsandProcedures_996727">
              <w:r>
                <w:rPr>
                  <w:rStyle w:val="InternetLink"/>
                  <w:rFonts w:ascii="Times New Roman;Times;serif" w:hAnsi="Times New Roman;Times;serif"/>
                  <w:b w:val="false"/>
                  <w:i w:val="false"/>
                  <w:caps w:val="false"/>
                  <w:smallCaps w:val="false"/>
                  <w:sz w:val="20"/>
                </w:rPr>
                <w:t>Controls and Procedures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c>
          <w:tcPr>
            <w:tcW w:w="81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7366" w:type="dxa"/>
            <w:tcBorders/>
            <w:vAlign w:val="center"/>
          </w:tcPr>
          <w:p>
            <w:pPr>
              <w:pStyle w:val="TableContents"/>
              <w:bidi w:val="0"/>
              <w:spacing w:lineRule="auto" w:line="285" w:before="0" w:after="0"/>
              <w:ind w:left="0" w:right="0" w:hanging="0"/>
              <w:jc w:val="left"/>
            </w:pPr>
            <w:r>
              <w:t>​</w:t>
            </w:r>
          </w:p>
        </w:tc>
        <w:tc>
          <w:tcPr>
            <w:tcW w:w="361" w:type="dxa"/>
            <w:tcBorders/>
            <w:vAlign w:val="center"/>
          </w:tcPr>
          <w:p>
            <w:pPr>
              <w:pStyle w:val="TableContents"/>
              <w:bidi w:val="0"/>
              <w:spacing w:lineRule="auto" w:line="285" w:before="0" w:after="0"/>
              <w:ind w:left="0" w:right="0" w:hanging="0"/>
              <w:jc w:val="right"/>
            </w:pPr>
            <w:r>
              <w:t>​</w:t>
            </w:r>
          </w:p>
        </w:tc>
      </w:tr>
      <w:tr>
        <w:tc>
          <w:tcPr>
            <w:tcW w:w="8884" w:type="dxa"/>
            <w:gridSpan w:val="4"/>
            <w:tcBorders/>
            <w:vAlign w:val="center"/>
          </w:tcPr>
          <w:p>
            <w:pPr>
              <w:pStyle w:val="TableContents"/>
              <w:bidi w:val="0"/>
              <w:spacing w:lineRule="auto" w:line="285" w:before="0" w:after="0"/>
              <w:ind w:left="0" w:right="0" w:hanging="0"/>
              <w:jc w:val="center"/>
            </w:pPr>
            <w:hyperlink w:anchor="PARTIIOTHERINFORMATION_177066">
              <w:r>
                <w:rPr>
                  <w:rStyle w:val="InternetLink"/>
                  <w:rFonts w:ascii="Times New Roman;Times;serif" w:hAnsi="Times New Roman;Times;serif"/>
                  <w:b/>
                  <w:i w:val="false"/>
                  <w:caps w:val="false"/>
                  <w:smallCaps w:val="false"/>
                  <w:sz w:val="20"/>
                </w:rPr>
                <w:t>PART II — OTHER INFORMATION</w:t>
              </w:r>
            </w:hyperlink>
          </w:p>
        </w:tc>
      </w:tr>
      <w:tr>
        <w:tc>
          <w:tcPr>
            <w:tcW w:w="81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7366" w:type="dxa"/>
            <w:tcBorders/>
            <w:vAlign w:val="center"/>
          </w:tcPr>
          <w:p>
            <w:pPr>
              <w:pStyle w:val="TableContents"/>
              <w:bidi w:val="0"/>
              <w:spacing w:lineRule="auto" w:line="285" w:before="0" w:after="0"/>
              <w:ind w:left="0" w:right="0" w:hanging="0"/>
              <w:jc w:val="left"/>
            </w:pPr>
            <w:r>
              <w:t>​</w:t>
            </w:r>
          </w:p>
        </w:tc>
        <w:tc>
          <w:tcPr>
            <w:tcW w:w="361" w:type="dxa"/>
            <w:tcBorders/>
            <w:vAlign w:val="center"/>
          </w:tcPr>
          <w:p>
            <w:pPr>
              <w:pStyle w:val="TableContents"/>
              <w:bidi w:val="0"/>
              <w:spacing w:lineRule="auto" w:line="285" w:before="0" w:after="0"/>
              <w:ind w:left="0" w:right="0" w:hanging="0"/>
              <w:jc w:val="right"/>
            </w:pPr>
            <w:r>
              <w:t>​</w:t>
            </w:r>
          </w:p>
        </w:tc>
      </w:tr>
      <w:tr>
        <w:tc>
          <w:tcPr>
            <w:tcW w:w="811" w:type="dxa"/>
            <w:tcBorders/>
            <w:vAlign w:val="center"/>
          </w:tcPr>
          <w:p>
            <w:pPr>
              <w:pStyle w:val="TableContents"/>
              <w:bidi w:val="0"/>
              <w:spacing w:lineRule="auto" w:line="285" w:before="0" w:after="0"/>
              <w:ind w:left="0" w:right="0" w:hanging="0"/>
              <w:jc w:val="left"/>
            </w:pPr>
            <w:hyperlink w:anchor="Item1LegalProceedings_213471">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lineRule="auto" w:line="285" w:before="0" w:after="0"/>
              <w:ind w:left="0" w:right="0" w:hanging="0"/>
              <w:jc w:val="left"/>
            </w:pPr>
            <w:r>
              <w:t>​</w:t>
            </w:r>
          </w:p>
        </w:tc>
        <w:tc>
          <w:tcPr>
            <w:tcW w:w="7366" w:type="dxa"/>
            <w:tcBorders/>
            <w:vAlign w:val="center"/>
          </w:tcPr>
          <w:p>
            <w:pPr>
              <w:pStyle w:val="TableContents"/>
              <w:bidi w:val="0"/>
              <w:spacing w:lineRule="auto" w:line="285" w:before="0" w:after="0"/>
              <w:ind w:left="0" w:right="0" w:hanging="0"/>
              <w:jc w:val="left"/>
            </w:pPr>
            <w:hyperlink w:anchor="Item1LegalProceedings_213471">
              <w:r>
                <w:rPr>
                  <w:rStyle w:val="InternetLink"/>
                  <w:rFonts w:ascii="Times New Roman;Times;serif" w:hAnsi="Times New Roman;Times;serif"/>
                  <w:b w:val="false"/>
                  <w:i w:val="false"/>
                  <w:caps w:val="false"/>
                  <w:smallCaps w:val="false"/>
                  <w:sz w:val="20"/>
                </w:rPr>
                <w:t>Legal Proceedings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c>
          <w:tcPr>
            <w:tcW w:w="811" w:type="dxa"/>
            <w:tcBorders/>
            <w:vAlign w:val="center"/>
          </w:tcPr>
          <w:p>
            <w:pPr>
              <w:pStyle w:val="TableContents"/>
              <w:bidi w:val="0"/>
              <w:spacing w:lineRule="auto" w:line="285" w:before="0" w:after="0"/>
              <w:ind w:left="0" w:right="0" w:hanging="0"/>
              <w:jc w:val="left"/>
            </w:pPr>
            <w:hyperlink w:anchor="RiskFactors">
              <w:r>
                <w:rPr>
                  <w:rStyle w:val="InternetLink"/>
                  <w:rFonts w:ascii="Times New Roman;Times;serif" w:hAnsi="Times New Roman;Times;serif"/>
                  <w:b w:val="false"/>
                  <w:i w:val="false"/>
                  <w:caps w:val="false"/>
                  <w:smallCaps w:val="false"/>
                  <w:sz w:val="20"/>
                </w:rPr>
                <w:t>Item 1A.</w:t>
              </w:r>
            </w:hyperlink>
          </w:p>
        </w:tc>
        <w:tc>
          <w:tcPr>
            <w:tcW w:w="346" w:type="dxa"/>
            <w:tcBorders/>
            <w:vAlign w:val="center"/>
          </w:tcPr>
          <w:p>
            <w:pPr>
              <w:pStyle w:val="TableContents"/>
              <w:bidi w:val="0"/>
              <w:spacing w:lineRule="auto" w:line="285" w:before="0" w:after="0"/>
              <w:ind w:left="0" w:right="0" w:hanging="0"/>
              <w:jc w:val="left"/>
            </w:pPr>
            <w:r>
              <w:t>​</w:t>
            </w:r>
          </w:p>
        </w:tc>
        <w:tc>
          <w:tcPr>
            <w:tcW w:w="7366" w:type="dxa"/>
            <w:tcBorders/>
            <w:vAlign w:val="center"/>
          </w:tcPr>
          <w:p>
            <w:pPr>
              <w:pStyle w:val="TableContents"/>
              <w:bidi w:val="0"/>
              <w:spacing w:lineRule="auto" w:line="285" w:before="0" w:after="0"/>
              <w:ind w:left="0" w:right="0" w:hanging="0"/>
              <w:jc w:val="left"/>
            </w:pPr>
            <w:hyperlink w:anchor="RiskFactors">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c>
          <w:tcPr>
            <w:tcW w:w="811" w:type="dxa"/>
            <w:tcBorders/>
            <w:vAlign w:val="center"/>
          </w:tcPr>
          <w:p>
            <w:pPr>
              <w:pStyle w:val="TableContents"/>
              <w:bidi w:val="0"/>
              <w:spacing w:lineRule="auto" w:line="285" w:before="0" w:after="0"/>
              <w:ind w:left="0" w:right="0" w:hanging="0"/>
              <w:jc w:val="left"/>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lineRule="auto" w:line="285" w:before="0" w:after="0"/>
              <w:ind w:left="0" w:right="0" w:hanging="0"/>
              <w:jc w:val="left"/>
            </w:pPr>
            <w:r>
              <w:t>​</w:t>
            </w:r>
          </w:p>
        </w:tc>
        <w:tc>
          <w:tcPr>
            <w:tcW w:w="7366" w:type="dxa"/>
            <w:tcBorders/>
            <w:vAlign w:val="center"/>
          </w:tcPr>
          <w:p>
            <w:pPr>
              <w:pStyle w:val="TableContents"/>
              <w:bidi w:val="0"/>
              <w:spacing w:lineRule="auto" w:line="285" w:before="0" w:after="0"/>
              <w:ind w:left="0" w:right="0" w:hanging="0"/>
              <w:jc w:val="left"/>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c>
          <w:tcPr>
            <w:tcW w:w="811" w:type="dxa"/>
            <w:tcBorders/>
            <w:vAlign w:val="center"/>
          </w:tcPr>
          <w:p>
            <w:pPr>
              <w:pStyle w:val="TableContents"/>
              <w:bidi w:val="0"/>
              <w:spacing w:lineRule="auto" w:line="285" w:before="0" w:after="0"/>
              <w:ind w:left="0" w:right="0" w:hanging="0"/>
              <w:jc w:val="left"/>
            </w:pPr>
            <w:hyperlink w:anchor="Item3DefaultsUponSeniorSecurities_526790">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lineRule="auto" w:line="285" w:before="0" w:after="0"/>
              <w:ind w:left="0" w:right="0" w:hanging="0"/>
              <w:jc w:val="left"/>
            </w:pPr>
            <w:r>
              <w:t>​</w:t>
            </w:r>
          </w:p>
        </w:tc>
        <w:tc>
          <w:tcPr>
            <w:tcW w:w="7366" w:type="dxa"/>
            <w:tcBorders/>
            <w:vAlign w:val="center"/>
          </w:tcPr>
          <w:p>
            <w:pPr>
              <w:pStyle w:val="TableContents"/>
              <w:bidi w:val="0"/>
              <w:spacing w:lineRule="auto" w:line="285" w:before="0" w:after="0"/>
              <w:ind w:left="0" w:right="0" w:hanging="0"/>
              <w:jc w:val="left"/>
            </w:pPr>
            <w:hyperlink w:anchor="Item3DefaultsUponSeniorSecurities_526790">
              <w:r>
                <w:rPr>
                  <w:rStyle w:val="InternetLink"/>
                  <w:rFonts w:ascii="Times New Roman;Times;serif" w:hAnsi="Times New Roman;Times;serif"/>
                  <w:b w:val="false"/>
                  <w:i w:val="false"/>
                  <w:caps w:val="false"/>
                  <w:smallCaps w:val="false"/>
                  <w:sz w:val="20"/>
                </w:rPr>
                <w:t>Defaults Upon Senior Securities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c>
          <w:tcPr>
            <w:tcW w:w="811" w:type="dxa"/>
            <w:tcBorders/>
            <w:vAlign w:val="center"/>
          </w:tcPr>
          <w:p>
            <w:pPr>
              <w:pStyle w:val="TableContents"/>
              <w:bidi w:val="0"/>
              <w:spacing w:lineRule="auto" w:line="285" w:before="0" w:after="0"/>
              <w:ind w:left="0" w:right="0" w:hanging="0"/>
              <w:jc w:val="left"/>
            </w:pPr>
            <w:hyperlink w:anchor="Item4MineSafetyDisclosures_600075">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lineRule="auto" w:line="285" w:before="0" w:after="0"/>
              <w:ind w:left="0" w:right="0" w:hanging="0"/>
              <w:jc w:val="left"/>
            </w:pPr>
            <w:r>
              <w:t>​</w:t>
            </w:r>
          </w:p>
        </w:tc>
        <w:tc>
          <w:tcPr>
            <w:tcW w:w="7366" w:type="dxa"/>
            <w:tcBorders/>
            <w:vAlign w:val="center"/>
          </w:tcPr>
          <w:p>
            <w:pPr>
              <w:pStyle w:val="TableContents"/>
              <w:bidi w:val="0"/>
              <w:spacing w:lineRule="auto" w:line="285" w:before="0" w:after="0"/>
              <w:ind w:left="0" w:right="0" w:hanging="0"/>
              <w:jc w:val="left"/>
            </w:pPr>
            <w:hyperlink w:anchor="Item4MineSafetyDisclosures_600075">
              <w:r>
                <w:rPr>
                  <w:rStyle w:val="InternetLink"/>
                  <w:rFonts w:ascii="Times New Roman;Times;serif" w:hAnsi="Times New Roman;Times;serif"/>
                  <w:b w:val="false"/>
                  <w:i w:val="false"/>
                  <w:caps w:val="false"/>
                  <w:smallCaps w:val="false"/>
                  <w:sz w:val="20"/>
                </w:rPr>
                <w:t>Mine Safety Disclosures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c>
          <w:tcPr>
            <w:tcW w:w="811" w:type="dxa"/>
            <w:tcBorders/>
            <w:vAlign w:val="center"/>
          </w:tcPr>
          <w:p>
            <w:pPr>
              <w:pStyle w:val="TableContents"/>
              <w:bidi w:val="0"/>
              <w:spacing w:lineRule="auto" w:line="285" w:before="0" w:after="0"/>
              <w:ind w:left="0" w:right="0" w:hanging="0"/>
              <w:jc w:val="left"/>
            </w:pPr>
            <w:hyperlink w:anchor="Item5OtherInformation_876990">
              <w:r>
                <w:rPr>
                  <w:rStyle w:val="InternetLink"/>
                  <w:rFonts w:ascii="Times New Roman;Times;serif" w:hAnsi="Times New Roman;Times;serif"/>
                  <w:b w:val="false"/>
                  <w:i w:val="false"/>
                  <w:caps w:val="false"/>
                  <w:smallCaps w:val="false"/>
                  <w:sz w:val="20"/>
                </w:rPr>
                <w:t>Item 5.</w:t>
              </w:r>
            </w:hyperlink>
          </w:p>
        </w:tc>
        <w:tc>
          <w:tcPr>
            <w:tcW w:w="346" w:type="dxa"/>
            <w:tcBorders/>
            <w:vAlign w:val="center"/>
          </w:tcPr>
          <w:p>
            <w:pPr>
              <w:pStyle w:val="TableContents"/>
              <w:bidi w:val="0"/>
              <w:spacing w:lineRule="auto" w:line="285" w:before="0" w:after="0"/>
              <w:ind w:left="0" w:right="0" w:hanging="0"/>
              <w:jc w:val="left"/>
            </w:pPr>
            <w:r>
              <w:t>​</w:t>
            </w:r>
          </w:p>
        </w:tc>
        <w:tc>
          <w:tcPr>
            <w:tcW w:w="7366" w:type="dxa"/>
            <w:tcBorders/>
            <w:vAlign w:val="center"/>
          </w:tcPr>
          <w:p>
            <w:pPr>
              <w:pStyle w:val="TableContents"/>
              <w:bidi w:val="0"/>
              <w:spacing w:lineRule="auto" w:line="285" w:before="0" w:after="0"/>
              <w:ind w:left="0" w:right="0" w:hanging="0"/>
              <w:jc w:val="left"/>
            </w:pPr>
            <w:hyperlink w:anchor="Item5OtherInformation_876990">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c>
          <w:tcPr>
            <w:tcW w:w="811" w:type="dxa"/>
            <w:tcBorders/>
            <w:vAlign w:val="center"/>
          </w:tcPr>
          <w:p>
            <w:pPr>
              <w:pStyle w:val="TableContents"/>
              <w:bidi w:val="0"/>
              <w:spacing w:lineRule="auto" w:line="285" w:before="0" w:after="0"/>
              <w:ind w:left="0" w:right="0" w:hanging="0"/>
              <w:jc w:val="left"/>
            </w:pPr>
            <w:hyperlink w:anchor="Item6Exhibits_350365">
              <w:r>
                <w:rPr>
                  <w:rStyle w:val="InternetLink"/>
                  <w:rFonts w:ascii="Times New Roman;Times;serif" w:hAnsi="Times New Roman;Times;serif"/>
                  <w:b w:val="false"/>
                  <w:i w:val="false"/>
                  <w:caps w:val="false"/>
                  <w:smallCaps w:val="false"/>
                  <w:sz w:val="20"/>
                </w:rPr>
                <w:t>Item 6.</w:t>
              </w:r>
            </w:hyperlink>
          </w:p>
        </w:tc>
        <w:tc>
          <w:tcPr>
            <w:tcW w:w="346" w:type="dxa"/>
            <w:tcBorders/>
            <w:vAlign w:val="center"/>
          </w:tcPr>
          <w:p>
            <w:pPr>
              <w:pStyle w:val="TableContents"/>
              <w:bidi w:val="0"/>
              <w:spacing w:lineRule="auto" w:line="285" w:before="0" w:after="0"/>
              <w:ind w:left="0" w:right="0" w:hanging="0"/>
              <w:jc w:val="left"/>
            </w:pPr>
            <w:r>
              <w:t>​</w:t>
            </w:r>
          </w:p>
        </w:tc>
        <w:tc>
          <w:tcPr>
            <w:tcW w:w="7366" w:type="dxa"/>
            <w:tcBorders/>
            <w:vAlign w:val="center"/>
          </w:tcPr>
          <w:p>
            <w:pPr>
              <w:pStyle w:val="TableContents"/>
              <w:bidi w:val="0"/>
              <w:spacing w:lineRule="auto" w:line="285" w:before="0" w:after="0"/>
              <w:ind w:left="0" w:right="0" w:hanging="0"/>
              <w:jc w:val="left"/>
            </w:pPr>
            <w:hyperlink w:anchor="Item6Exhibits_350365">
              <w:r>
                <w:rPr>
                  <w:rStyle w:val="InternetLink"/>
                  <w:rFonts w:ascii="Times New Roman;Times;serif" w:hAnsi="Times New Roman;Times;serif"/>
                  <w:b w:val="false"/>
                  <w:i w:val="false"/>
                  <w:caps w:val="false"/>
                  <w:smallCaps w:val="false"/>
                  <w:sz w:val="20"/>
                </w:rPr>
                <w:t>Exhibits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c>
          <w:tcPr>
            <w:tcW w:w="81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7366" w:type="dxa"/>
            <w:tcBorders/>
            <w:vAlign w:val="center"/>
          </w:tcPr>
          <w:p>
            <w:pPr>
              <w:pStyle w:val="TableContents"/>
              <w:bidi w:val="0"/>
              <w:spacing w:lineRule="auto" w:line="285" w:before="0" w:after="0"/>
              <w:ind w:left="0" w:right="0" w:hanging="0"/>
              <w:jc w:val="left"/>
            </w:pPr>
            <w:r>
              <w:t>​</w:t>
            </w:r>
          </w:p>
        </w:tc>
        <w:tc>
          <w:tcPr>
            <w:tcW w:w="361" w:type="dxa"/>
            <w:tcBorders/>
            <w:vAlign w:val="center"/>
          </w:tcPr>
          <w:p>
            <w:pPr>
              <w:pStyle w:val="TableContents"/>
              <w:bidi w:val="0"/>
              <w:spacing w:lineRule="auto" w:line="285" w:before="0" w:after="0"/>
              <w:ind w:left="0" w:right="0" w:hanging="0"/>
              <w:jc w:val="right"/>
            </w:pPr>
            <w:r>
              <w:t>​</w:t>
            </w:r>
          </w:p>
        </w:tc>
      </w:tr>
      <w:tr>
        <w:tc>
          <w:tcPr>
            <w:tcW w:w="8523" w:type="dxa"/>
            <w:gridSpan w:val="3"/>
            <w:tcBorders/>
            <w:vAlign w:val="center"/>
          </w:tcPr>
          <w:p>
            <w:pPr>
              <w:pStyle w:val="TableContents"/>
              <w:bidi w:val="0"/>
              <w:spacing w:lineRule="auto" w:line="285" w:before="0" w:after="0"/>
              <w:ind w:left="0" w:right="0" w:hanging="0"/>
              <w:jc w:val="left"/>
            </w:pPr>
            <w:hyperlink w:anchor="SIGNATURES_676454">
              <w:r>
                <w:rPr>
                  <w:rStyle w:val="InternetLink"/>
                  <w:rFonts w:ascii="Times New Roman;Times;serif" w:hAnsi="Times New Roman;Times;serif"/>
                  <w:b w:val="false"/>
                  <w:i w:val="false"/>
                  <w:caps w:val="false"/>
                  <w:smallCaps w:val="false"/>
                  <w:sz w:val="20"/>
                </w:rPr>
                <w:t>SIGNATURES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pPr>
      <w: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37" w:name="PARTIFINANCIALINFORMATION_671322"/>
      <w:bookmarkStart w:id="38" w:name="_9cc402a5_dece_4709_89ce_4969957c65c2"/>
      <w:bookmarkEnd w:id="37"/>
      <w:bookmarkEnd w:id="38"/>
      <w:r>
        <w:rPr>
          <w:rFonts w:ascii="Times New Roman;Times;serif" w:hAnsi="Times New Roman;Times;serif"/>
          <w:b/>
          <w:sz w:val="20"/>
        </w:rPr>
        <w:t>PART I - FINANCIAL INFORMATION</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sz w:val="20"/>
        </w:rPr>
      </w:pPr>
      <w:bookmarkStart w:id="39" w:name="Item1UnauditedCondensedFinancialStatemen"/>
      <w:bookmarkEnd w:id="39"/>
      <w:r>
        <w:rPr>
          <w:rFonts w:ascii="Times New Roman;Times;serif" w:hAnsi="Times New Roman;Times;serif"/>
          <w:b/>
          <w:sz w:val="20"/>
        </w:rPr>
        <w:t>Item 1. Unaudited Condensed Consolidated Financial Statements</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CORVUS PHARMACEUTICALS, INC.</w:t>
      </w:r>
    </w:p>
    <w:p>
      <w:pPr>
        <w:pStyle w:val="TextBody"/>
        <w:bidi w:val="0"/>
        <w:spacing w:lineRule="auto" w:line="285" w:before="0" w:after="0"/>
        <w:ind w:left="0" w:right="0" w:hanging="0"/>
        <w:jc w:val="center"/>
        <w:rPr>
          <w:rFonts w:ascii="Times New Roman;Times;serif" w:hAnsi="Times New Roman;Times;serif"/>
          <w:b/>
          <w:sz w:val="20"/>
        </w:rPr>
      </w:pPr>
      <w:bookmarkStart w:id="40" w:name="CONDENSEDCONSOLIDATEDBALANCESHEETS_89276"/>
      <w:bookmarkEnd w:id="40"/>
      <w:r>
        <w:rPr>
          <w:rFonts w:ascii="Times New Roman;Times;serif" w:hAnsi="Times New Roman;Times;serif"/>
          <w:b/>
          <w:sz w:val="20"/>
        </w:rPr>
        <w:t>CONDENSED CONSOLIDATED BALANCE SHEETS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 thousands, except share and per share data)</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285" w:before="0" w:after="0"/>
        <w:ind w:left="0" w:right="0" w:hanging="0"/>
        <w:jc w:val="center"/>
      </w:pPr>
      <w:r>
        <w:t>​</w:t>
      </w:r>
    </w:p>
    <w:p>
      <w:pPr>
        <w:pStyle w:val="Normal"/>
        <w:bidi w:val="0"/>
        <w:spacing w:before="0" w:after="0"/>
        <w:jc w:val="left"/>
        <w:rPr>
          <w:sz w:val="4"/>
          <w:szCs w:val="4"/>
        </w:rPr>
      </w:pPr>
      <w:r>
        <w:rPr>
          <w:sz w:val="4"/>
          <w:szCs w:val="4"/>
        </w:rPr>
      </w:r>
      <w:bookmarkStart w:id="41" w:name="Tc_nsOtxSEt30yobvxKIpLJrA_32_5"/>
      <w:bookmarkStart w:id="42" w:name="Tc_68rAzErVSUG7GbWErHMK_g_32_2"/>
      <w:bookmarkStart w:id="43" w:name="Tc_B1BwX7DH2U2B44LIdHxqZg_32_0"/>
      <w:bookmarkStart w:id="44" w:name="Tc_5O2jTsE7XkarTNCQ3F6hqw_31_0"/>
      <w:bookmarkStart w:id="45" w:name="Tc_1kXkTDVSEke1r9O-Yc_kXQ_30_0"/>
      <w:bookmarkStart w:id="46" w:name="Tc_wsUqr8RvJUiyGhwMokjK6A_29_0"/>
      <w:bookmarkStart w:id="47" w:name="Tc_pYSFLaV_a0-YcqIosK1_LA_28_0"/>
      <w:bookmarkStart w:id="48" w:name="Tc_cOvLcwbh1U-RLGQLh5Ee_A_27_0"/>
      <w:bookmarkStart w:id="49" w:name="Tc_sJ5N1nz44EGbOlZGUJ7Vcw_26_0"/>
      <w:bookmarkStart w:id="50" w:name="Tc_x-CfcMAIykerjUTZiPtjUg_25_0"/>
      <w:bookmarkStart w:id="51" w:name="Tc_xcRLHQr2UkGVjL8OBKadQA_24_0"/>
      <w:bookmarkStart w:id="52" w:name="Tc_pBV0RPfMaUS16rwp3e0cRA_23_0"/>
      <w:bookmarkStart w:id="53" w:name="Tc_XLiwmFLBrkaKT4hOvUDHPw_22_0"/>
      <w:bookmarkStart w:id="54" w:name="Tc_0g_SsuE8T0G5fKUVjqmqzA_21_0"/>
      <w:bookmarkStart w:id="55" w:name="Tc_xNH5r9t790Gbva-zKqXZSw_20_0"/>
      <w:bookmarkStart w:id="56" w:name="Tc_XQItDmcrvUaxZwxp3VDIiA_19_0"/>
      <w:bookmarkStart w:id="57" w:name="Tc_1atVf51vB02K1hh6ESXQ2g_18_5"/>
      <w:bookmarkStart w:id="58" w:name="Tc_xxiynhxNU0-E-cPpJI3idg_18_2"/>
      <w:bookmarkStart w:id="59" w:name="Tc_f0XLCPz3PkWtYBUhizSv4A_18_0"/>
      <w:bookmarkStart w:id="60" w:name="Tc_gTqniWm2JU6jfVzJf1ksFg_17_0"/>
      <w:bookmarkStart w:id="61" w:name="Tc_tW9JmyfI3EOV013CZfw5JQ_16_0"/>
      <w:bookmarkStart w:id="62" w:name="Tc_zOXJIhF9Wke3lzlSTUeQKw_14_5"/>
      <w:bookmarkStart w:id="63" w:name="Tc_Y5_OgkzWDkGhBl1ewFB23Q_14_2"/>
      <w:bookmarkStart w:id="64" w:name="Tc_zyOvCRpXg0yIkdfTvr3fmQ_14_0"/>
      <w:bookmarkStart w:id="65" w:name="Tc_3T8BijssBUqWn43h7nasmw_13_0"/>
      <w:bookmarkStart w:id="66" w:name="Tc_FcxcwmAHAEisQijRvxtFsw_12_0"/>
      <w:bookmarkStart w:id="67" w:name="Tc_45Z8ppT-X0mxC45dhkTS4w_11_0"/>
      <w:bookmarkStart w:id="68" w:name="Tc_T14C7nD5DEGtD0NElgy1nw_10_0"/>
      <w:bookmarkStart w:id="69" w:name="Tc_5lh051X3QkiAwI5jtVDJ7Q_9_0"/>
      <w:bookmarkStart w:id="70" w:name="Tc_uav-GqXtyU6w5qxZHrBF9g_8_0"/>
      <w:bookmarkStart w:id="71" w:name="Tc_0XnaKdgTHESGSLtxHfSyKw_6_0"/>
      <w:bookmarkStart w:id="72" w:name="Tc_LJlDrGDjZUqDzMBHUrNdkA_5_5"/>
      <w:bookmarkStart w:id="73" w:name="Tc_1ePq8_X4BESbFntSEKpvpw_5_2"/>
      <w:bookmarkStart w:id="74" w:name="Tc_pdj2UeEJ-EObUVtDV7rXtg_5_0"/>
      <w:bookmarkStart w:id="75" w:name="Tc_17UF5g5XTku7L8y3T5tuhg_4_0"/>
      <w:bookmarkStart w:id="76" w:name="Tc_XYnLbcKm3UKKtlDMVuiApA_3_0"/>
      <w:bookmarkStart w:id="77" w:name="Tc_FvsGwxEiz0K5sqG4CEfNLw_2_5"/>
      <w:bookmarkStart w:id="78" w:name="Tc_8AkuoGZ-lUqiLDWs7tH8sQ_2_2"/>
      <w:bookmarkStart w:id="79" w:name="Tc_5-53CP6oD0y-tj6I4vyApg_1_5"/>
      <w:bookmarkStart w:id="80" w:name="Tc_WEnJWkySn0OVwE_v3Ejmxw_1_2"/>
      <w:bookmarkStart w:id="81" w:name="_197d693c_8d6c_4e2b_a0ff_013e875fc05b"/>
      <w:bookmarkStart w:id="82" w:name="Tc_nsOtxSEt30yobvxKIpLJrA_32_5"/>
      <w:bookmarkStart w:id="83" w:name="Tc_68rAzErVSUG7GbWErHMK_g_32_2"/>
      <w:bookmarkStart w:id="84" w:name="Tc_B1BwX7DH2U2B44LIdHxqZg_32_0"/>
      <w:bookmarkStart w:id="85" w:name="Tc_5O2jTsE7XkarTNCQ3F6hqw_31_0"/>
      <w:bookmarkStart w:id="86" w:name="Tc_1kXkTDVSEke1r9O-Yc_kXQ_30_0"/>
      <w:bookmarkStart w:id="87" w:name="Tc_wsUqr8RvJUiyGhwMokjK6A_29_0"/>
      <w:bookmarkStart w:id="88" w:name="Tc_pYSFLaV_a0-YcqIosK1_LA_28_0"/>
      <w:bookmarkStart w:id="89" w:name="Tc_cOvLcwbh1U-RLGQLh5Ee_A_27_0"/>
      <w:bookmarkStart w:id="90" w:name="Tc_sJ5N1nz44EGbOlZGUJ7Vcw_26_0"/>
      <w:bookmarkStart w:id="91" w:name="Tc_x-CfcMAIykerjUTZiPtjUg_25_0"/>
      <w:bookmarkStart w:id="92" w:name="Tc_xcRLHQr2UkGVjL8OBKadQA_24_0"/>
      <w:bookmarkStart w:id="93" w:name="Tc_pBV0RPfMaUS16rwp3e0cRA_23_0"/>
      <w:bookmarkStart w:id="94" w:name="Tc_XLiwmFLBrkaKT4hOvUDHPw_22_0"/>
      <w:bookmarkStart w:id="95" w:name="Tc_0g_SsuE8T0G5fKUVjqmqzA_21_0"/>
      <w:bookmarkStart w:id="96" w:name="Tc_xNH5r9t790Gbva-zKqXZSw_20_0"/>
      <w:bookmarkStart w:id="97" w:name="Tc_XQItDmcrvUaxZwxp3VDIiA_19_0"/>
      <w:bookmarkStart w:id="98" w:name="Tc_1atVf51vB02K1hh6ESXQ2g_18_5"/>
      <w:bookmarkStart w:id="99" w:name="Tc_xxiynhxNU0-E-cPpJI3idg_18_2"/>
      <w:bookmarkStart w:id="100" w:name="Tc_f0XLCPz3PkWtYBUhizSv4A_18_0"/>
      <w:bookmarkStart w:id="101" w:name="Tc_gTqniWm2JU6jfVzJf1ksFg_17_0"/>
      <w:bookmarkStart w:id="102" w:name="Tc_tW9JmyfI3EOV013CZfw5JQ_16_0"/>
      <w:bookmarkStart w:id="103" w:name="Tc_zOXJIhF9Wke3lzlSTUeQKw_14_5"/>
      <w:bookmarkStart w:id="104" w:name="Tc_Y5_OgkzWDkGhBl1ewFB23Q_14_2"/>
      <w:bookmarkStart w:id="105" w:name="Tc_zyOvCRpXg0yIkdfTvr3fmQ_14_0"/>
      <w:bookmarkStart w:id="106" w:name="Tc_3T8BijssBUqWn43h7nasmw_13_0"/>
      <w:bookmarkStart w:id="107" w:name="Tc_FcxcwmAHAEisQijRvxtFsw_12_0"/>
      <w:bookmarkStart w:id="108" w:name="Tc_45Z8ppT-X0mxC45dhkTS4w_11_0"/>
      <w:bookmarkStart w:id="109" w:name="Tc_T14C7nD5DEGtD0NElgy1nw_10_0"/>
      <w:bookmarkStart w:id="110" w:name="Tc_5lh051X3QkiAwI5jtVDJ7Q_9_0"/>
      <w:bookmarkStart w:id="111" w:name="Tc_uav-GqXtyU6w5qxZHrBF9g_8_0"/>
      <w:bookmarkStart w:id="112" w:name="Tc_0XnaKdgTHESGSLtxHfSyKw_6_0"/>
      <w:bookmarkStart w:id="113" w:name="Tc_LJlDrGDjZUqDzMBHUrNdkA_5_5"/>
      <w:bookmarkStart w:id="114" w:name="Tc_1ePq8_X4BESbFntSEKpvpw_5_2"/>
      <w:bookmarkStart w:id="115" w:name="Tc_pdj2UeEJ-EObUVtDV7rXtg_5_0"/>
      <w:bookmarkStart w:id="116" w:name="Tc_17UF5g5XTku7L8y3T5tuhg_4_0"/>
      <w:bookmarkStart w:id="117" w:name="Tc_XYnLbcKm3UKKtlDMVuiApA_3_0"/>
      <w:bookmarkStart w:id="118" w:name="Tc_FvsGwxEiz0K5sqG4CEfNLw_2_5"/>
      <w:bookmarkStart w:id="119" w:name="Tc_8AkuoGZ-lUqiLDWs7tH8sQ_2_2"/>
      <w:bookmarkStart w:id="120" w:name="Tc_5-53CP6oD0y-tj6I4vyApg_1_5"/>
      <w:bookmarkStart w:id="121" w:name="Tc_WEnJWkySn0OVwE_v3Ejmxw_1_2"/>
      <w:bookmarkStart w:id="122" w:name="_197d693c_8d6c_4e2b_a0ff_013e875fc05b"/>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tbl>
      <w:tblPr>
        <w:tblW w:w="10205" w:type="dxa"/>
        <w:jc w:val="left"/>
        <w:tblInd w:w="0" w:type="dxa"/>
        <w:tblLayout w:type="fixed"/>
        <w:tblCellMar>
          <w:top w:w="0" w:type="dxa"/>
          <w:left w:w="0" w:type="dxa"/>
          <w:bottom w:w="0" w:type="dxa"/>
          <w:right w:w="0" w:type="dxa"/>
        </w:tblCellMar>
      </w:tblPr>
      <w:tblGrid>
        <w:gridCol w:w="7263"/>
        <w:gridCol w:w="346"/>
        <w:gridCol w:w="215"/>
        <w:gridCol w:w="908"/>
        <w:gridCol w:w="346"/>
        <w:gridCol w:w="212"/>
        <w:gridCol w:w="915"/>
      </w:tblGrid>
      <w:tr>
        <w:tc>
          <w:tcPr>
            <w:tcW w:w="7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612005" cy="175260"/>
                      <wp:effectExtent l="0" t="0" r="0" b="0"/>
                      <wp:wrapNone/>
                      <wp:docPr id="8" name="Frame8"/>
                      <a:graphic xmlns:a="http://schemas.openxmlformats.org/drawingml/2006/main">
                        <a:graphicData uri="http://schemas.microsoft.com/office/word/2010/wordprocessingShape">
                          <wps:wsp>
                            <wps:cNvSpPr txBox="1"/>
                            <wps:spPr>
                              <a:xfrm>
                                <a:off x="0" y="0"/>
                                <a:ext cx="461200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6525" cy="175260"/>
                      <wp:effectExtent l="0" t="0" r="0" b="0"/>
                      <wp:wrapNone/>
                      <wp:docPr id="10" name="Frame10"/>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76580" cy="175260"/>
                      <wp:effectExtent l="0" t="0" r="0" b="0"/>
                      <wp:wrapNone/>
                      <wp:docPr id="11" name="Frame11"/>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4620" cy="175260"/>
                      <wp:effectExtent l="0" t="0" r="0" b="0"/>
                      <wp:wrapNone/>
                      <wp:docPr id="13" name="Frame13"/>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81025" cy="175260"/>
                      <wp:effectExtent l="0" t="0" r="0" b="0"/>
                      <wp:wrapNone/>
                      <wp:docPr id="14" name="Frame14"/>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7263"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1123"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lineRule="auto" w:line="285" w:before="0" w:after="0"/>
              <w:ind w:left="0" w:right="0" w:hanging="0"/>
              <w:jc w:val="left"/>
            </w:pPr>
            <w:r>
              <w:t>​</w:t>
            </w:r>
          </w:p>
        </w:tc>
        <w:tc>
          <w:tcPr>
            <w:tcW w:w="112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c>
          <w:tcPr>
            <w:tcW w:w="7263"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112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pPr>
            <w:r>
              <w:t>  ​ ​ ​</w:t>
            </w:r>
          </w:p>
        </w:tc>
        <w:tc>
          <w:tcPr>
            <w:tcW w:w="11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7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5" w:type="dxa"/>
            <w:tcBorders/>
            <w:shd w:fill="CCEEFF" w:val="clear"/>
            <w:vAlign w:val="center"/>
          </w:tcPr>
          <w:p>
            <w:pPr>
              <w:pStyle w:val="TableContents"/>
              <w:bidi w:val="0"/>
              <w:spacing w:lineRule="auto" w:line="285" w:before="0" w:after="0"/>
              <w:ind w:left="0" w:right="0" w:hanging="0"/>
              <w:jc w:val="left"/>
            </w:pPr>
            <w:r>
              <w:t>​</w:t>
            </w:r>
          </w:p>
        </w:tc>
        <w:tc>
          <w:tcPr>
            <w:tcW w:w="908"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2" w:type="dxa"/>
            <w:tcBorders/>
            <w:shd w:fill="CCEEFF" w:val="clear"/>
            <w:vAlign w:val="center"/>
          </w:tcPr>
          <w:p>
            <w:pPr>
              <w:pStyle w:val="TableContents"/>
              <w:bidi w:val="0"/>
              <w:spacing w:lineRule="auto" w:line="285" w:before="0" w:after="0"/>
              <w:ind w:left="0" w:right="0" w:hanging="0"/>
              <w:jc w:val="left"/>
            </w:pPr>
            <w:r>
              <w:t>​</w:t>
            </w:r>
          </w:p>
        </w:tc>
        <w:tc>
          <w:tcPr>
            <w:tcW w:w="915" w:type="dxa"/>
            <w:tcBorders/>
            <w:shd w:fill="CCEEFF" w:val="clear"/>
            <w:vAlign w:val="center"/>
          </w:tcPr>
          <w:p>
            <w:pPr>
              <w:pStyle w:val="TableContents"/>
              <w:bidi w:val="0"/>
              <w:spacing w:lineRule="auto" w:line="285" w:before="0" w:after="0"/>
              <w:ind w:left="0" w:right="0" w:hanging="0"/>
              <w:jc w:val="right"/>
            </w:pPr>
            <w:r>
              <w:t>  ​</w:t>
            </w:r>
          </w:p>
        </w:tc>
      </w:tr>
      <w:tr>
        <w:tc>
          <w:tcPr>
            <w:tcW w:w="72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lineRule="auto" w:line="285" w:before="0" w:after="0"/>
              <w:ind w:left="0" w:right="0" w:hanging="0"/>
              <w:jc w:val="left"/>
            </w:pPr>
            <w:r>
              <w:t> </w:t>
            </w:r>
          </w:p>
        </w:tc>
        <w:tc>
          <w:tcPr>
            <w:tcW w:w="215" w:type="dxa"/>
            <w:tcBorders/>
            <w:vAlign w:val="center"/>
          </w:tcPr>
          <w:p>
            <w:pPr>
              <w:pStyle w:val="TableContents"/>
              <w:bidi w:val="0"/>
              <w:spacing w:lineRule="auto" w:line="285" w:before="0" w:after="0"/>
              <w:ind w:left="0" w:right="0" w:hanging="0"/>
              <w:jc w:val="left"/>
            </w:pPr>
            <w:r>
              <w:t>​</w:t>
            </w:r>
          </w:p>
        </w:tc>
        <w:tc>
          <w:tcPr>
            <w:tcW w:w="908" w:type="dxa"/>
            <w:tcBorders/>
            <w:vAlign w:val="center"/>
          </w:tcPr>
          <w:p>
            <w:pPr>
              <w:pStyle w:val="TableContents"/>
              <w:bidi w:val="0"/>
              <w:spacing w:lineRule="auto" w:line="285" w:before="0" w:after="0"/>
              <w:ind w:left="0" w:right="0" w:hanging="0"/>
              <w:jc w:val="right"/>
            </w:pPr>
            <w:r>
              <w:t>  ​</w:t>
            </w:r>
          </w:p>
        </w:tc>
        <w:tc>
          <w:tcPr>
            <w:tcW w:w="346" w:type="dxa"/>
            <w:tcBorders/>
            <w:vAlign w:val="center"/>
          </w:tcPr>
          <w:p>
            <w:pPr>
              <w:pStyle w:val="TableContents"/>
              <w:bidi w:val="0"/>
              <w:spacing w:lineRule="auto" w:line="285" w:before="0" w:after="0"/>
              <w:ind w:left="0" w:right="0" w:hanging="0"/>
              <w:jc w:val="left"/>
            </w:pPr>
            <w:r>
              <w:t> </w:t>
            </w:r>
          </w:p>
        </w:tc>
        <w:tc>
          <w:tcPr>
            <w:tcW w:w="212" w:type="dxa"/>
            <w:tcBorders/>
            <w:vAlign w:val="center"/>
          </w:tcPr>
          <w:p>
            <w:pPr>
              <w:pStyle w:val="TableContents"/>
              <w:bidi w:val="0"/>
              <w:spacing w:lineRule="auto" w:line="285" w:before="0" w:after="0"/>
              <w:ind w:left="0" w:right="0" w:hanging="0"/>
              <w:jc w:val="left"/>
            </w:pPr>
            <w:r>
              <w:t>​</w:t>
            </w:r>
          </w:p>
        </w:tc>
        <w:tc>
          <w:tcPr>
            <w:tcW w:w="915" w:type="dxa"/>
            <w:tcBorders/>
            <w:vAlign w:val="center"/>
          </w:tcPr>
          <w:p>
            <w:pPr>
              <w:pStyle w:val="TableContents"/>
              <w:bidi w:val="0"/>
              <w:spacing w:lineRule="auto" w:line="285" w:before="0" w:after="0"/>
              <w:ind w:left="0" w:right="0" w:hanging="0"/>
              <w:jc w:val="right"/>
            </w:pPr>
            <w:r>
              <w:t>  ​</w:t>
            </w:r>
          </w:p>
        </w:tc>
      </w:tr>
      <w:tr>
        <w:tc>
          <w:tcPr>
            <w:tcW w:w="7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15,013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4,576</w:t>
            </w:r>
          </w:p>
        </w:tc>
      </w:tr>
      <w:tr>
        <w:tc>
          <w:tcPr>
            <w:tcW w:w="72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vAlign w:val="center"/>
          </w:tcPr>
          <w:p>
            <w:pPr>
              <w:pStyle w:val="TableContents"/>
              <w:bidi w:val="0"/>
              <w:spacing w:lineRule="auto" w:line="285" w:before="0" w:after="0"/>
              <w:ind w:left="0" w:right="0" w:hanging="0"/>
              <w:jc w:val="left"/>
            </w:pPr>
            <w:r>
              <w:t>​</w:t>
            </w:r>
          </w:p>
        </w:tc>
        <w:tc>
          <w:tcPr>
            <w:tcW w:w="215" w:type="dxa"/>
            <w:tcBorders/>
            <w:vAlign w:val="center"/>
          </w:tcPr>
          <w:p>
            <w:pPr>
              <w:pStyle w:val="TableContents"/>
              <w:bidi w:val="0"/>
              <w:spacing w:lineRule="auto" w:line="285" w:before="0" w:after="0"/>
              <w:ind w:left="0" w:right="0" w:hanging="0"/>
              <w:jc w:val="left"/>
            </w:pPr>
            <w:r>
              <w:t> </w:t>
            </w:r>
          </w:p>
        </w:tc>
        <w:tc>
          <w:tcPr>
            <w:tcW w:w="90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187,933</w:t>
            </w:r>
          </w:p>
        </w:tc>
        <w:tc>
          <w:tcPr>
            <w:tcW w:w="346" w:type="dxa"/>
            <w:tcBorders/>
            <w:vAlign w:val="center"/>
          </w:tcPr>
          <w:p>
            <w:pPr>
              <w:pStyle w:val="TableContents"/>
              <w:bidi w:val="0"/>
              <w:spacing w:lineRule="auto" w:line="285" w:before="0" w:after="0"/>
              <w:ind w:left="0" w:right="0" w:hanging="0"/>
              <w:jc w:val="left"/>
            </w:pPr>
            <w:r>
              <w:t>​</w:t>
            </w:r>
          </w:p>
        </w:tc>
        <w:tc>
          <w:tcPr>
            <w:tcW w:w="212" w:type="dxa"/>
            <w:tcBorders/>
            <w:vAlign w:val="center"/>
          </w:tcPr>
          <w:p>
            <w:pPr>
              <w:pStyle w:val="TableContents"/>
              <w:bidi w:val="0"/>
              <w:spacing w:lineRule="auto" w:line="285" w:before="0" w:after="0"/>
              <w:ind w:left="0" w:right="0" w:hanging="0"/>
              <w:jc w:val="left"/>
            </w:pPr>
            <w:r>
              <w:t> </w:t>
            </w:r>
          </w:p>
        </w:tc>
        <w:tc>
          <w:tcPr>
            <w:tcW w:w="9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52,174</w:t>
            </w:r>
          </w:p>
        </w:tc>
      </w:tr>
      <w:tr>
        <w:tc>
          <w:tcPr>
            <w:tcW w:w="7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 related party</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5" w:type="dxa"/>
            <w:tcBorders/>
            <w:shd w:fill="CCEEFF" w:val="clear"/>
            <w:vAlign w:val="center"/>
          </w:tcPr>
          <w:p>
            <w:pPr>
              <w:pStyle w:val="TableContents"/>
              <w:bidi w:val="0"/>
              <w:spacing w:lineRule="auto" w:line="285" w:before="0" w:after="0"/>
              <w:ind w:left="0" w:right="0" w:hanging="0"/>
              <w:jc w:val="left"/>
            </w:pPr>
            <w:r>
              <w:t> </w:t>
            </w:r>
          </w:p>
        </w:tc>
        <w:tc>
          <w:tcPr>
            <w:tcW w:w="90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2" w:type="dxa"/>
            <w:tcBorders/>
            <w:shd w:fill="CCEEFF" w:val="clear"/>
            <w:vAlign w:val="center"/>
          </w:tcPr>
          <w:p>
            <w:pPr>
              <w:pStyle w:val="TableContents"/>
              <w:bidi w:val="0"/>
              <w:spacing w:lineRule="auto" w:line="285" w:before="0" w:after="0"/>
              <w:ind w:left="0" w:right="0" w:hanging="0"/>
              <w:jc w:val="left"/>
            </w:pPr>
            <w:r>
              <w:t> </w:t>
            </w:r>
          </w:p>
        </w:tc>
        <w:tc>
          <w:tcPr>
            <w:tcW w:w="9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c>
          <w:tcPr>
            <w:tcW w:w="72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and other current assets</w:t>
            </w:r>
          </w:p>
        </w:tc>
        <w:tc>
          <w:tcPr>
            <w:tcW w:w="346" w:type="dxa"/>
            <w:tcBorders/>
            <w:vAlign w:val="center"/>
          </w:tcPr>
          <w:p>
            <w:pPr>
              <w:pStyle w:val="TableContents"/>
              <w:bidi w:val="0"/>
              <w:spacing w:lineRule="auto" w:line="285" w:before="0" w:after="0"/>
              <w:ind w:left="0" w:right="0" w:hanging="0"/>
              <w:jc w:val="left"/>
            </w:pPr>
            <w:r>
              <w:t>​</w:t>
            </w:r>
          </w:p>
        </w:tc>
        <w:tc>
          <w:tcPr>
            <w:tcW w:w="215"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90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3,394</w:t>
            </w:r>
          </w:p>
        </w:tc>
        <w:tc>
          <w:tcPr>
            <w:tcW w:w="346" w:type="dxa"/>
            <w:tcBorders/>
            <w:vAlign w:val="center"/>
          </w:tcPr>
          <w:p>
            <w:pPr>
              <w:pStyle w:val="TableContents"/>
              <w:bidi w:val="0"/>
              <w:spacing w:lineRule="auto" w:line="285" w:before="0" w:after="0"/>
              <w:ind w:left="0" w:right="0" w:hanging="0"/>
              <w:jc w:val="left"/>
            </w:pPr>
            <w: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91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1,427</w:t>
            </w:r>
          </w:p>
        </w:tc>
      </w:tr>
      <w:tr>
        <w:tc>
          <w:tcPr>
            <w:tcW w:w="7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5" w:type="dxa"/>
            <w:tcBorders/>
            <w:shd w:fill="CCEEFF" w:val="clear"/>
            <w:vAlign w:val="center"/>
          </w:tcPr>
          <w:p>
            <w:pPr>
              <w:pStyle w:val="TableContents"/>
              <w:bidi w:val="0"/>
              <w:spacing w:lineRule="auto" w:line="285" w:before="0" w:after="0"/>
              <w:ind w:left="0" w:right="0" w:hanging="0"/>
              <w:jc w:val="left"/>
            </w:pPr>
            <w:r>
              <w:t> </w:t>
            </w:r>
          </w:p>
        </w:tc>
        <w:tc>
          <w:tcPr>
            <w:tcW w:w="90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206,345</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2" w:type="dxa"/>
            <w:tcBorders/>
            <w:shd w:fill="CCEEFF" w:val="clear"/>
            <w:vAlign w:val="center"/>
          </w:tcPr>
          <w:p>
            <w:pPr>
              <w:pStyle w:val="TableContents"/>
              <w:bidi w:val="0"/>
              <w:spacing w:lineRule="auto" w:line="285" w:before="0" w:after="0"/>
              <w:ind w:left="0" w:right="0" w:hanging="0"/>
              <w:jc w:val="left"/>
            </w:pPr>
            <w:r>
              <w:t> </w:t>
            </w:r>
          </w:p>
        </w:tc>
        <w:tc>
          <w:tcPr>
            <w:tcW w:w="9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58,214</w:t>
            </w:r>
          </w:p>
        </w:tc>
      </w:tr>
      <w:tr>
        <w:tc>
          <w:tcPr>
            <w:tcW w:w="72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lineRule="auto" w:line="285" w:before="0" w:after="0"/>
              <w:ind w:left="0" w:right="0" w:hanging="0"/>
              <w:jc w:val="left"/>
            </w:pPr>
            <w:r>
              <w:t>​</w:t>
            </w:r>
          </w:p>
        </w:tc>
        <w:tc>
          <w:tcPr>
            <w:tcW w:w="215" w:type="dxa"/>
            <w:tcBorders/>
            <w:vAlign w:val="center"/>
          </w:tcPr>
          <w:p>
            <w:pPr>
              <w:pStyle w:val="TableContents"/>
              <w:bidi w:val="0"/>
              <w:spacing w:lineRule="auto" w:line="285" w:before="0" w:after="0"/>
              <w:ind w:left="0" w:right="0" w:hanging="0"/>
              <w:jc w:val="left"/>
            </w:pPr>
            <w:r>
              <w:t> </w:t>
            </w:r>
          </w:p>
        </w:tc>
        <w:tc>
          <w:tcPr>
            <w:tcW w:w="90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801</w:t>
            </w:r>
          </w:p>
        </w:tc>
        <w:tc>
          <w:tcPr>
            <w:tcW w:w="346" w:type="dxa"/>
            <w:tcBorders/>
            <w:vAlign w:val="center"/>
          </w:tcPr>
          <w:p>
            <w:pPr>
              <w:pStyle w:val="TableContents"/>
              <w:bidi w:val="0"/>
              <w:spacing w:lineRule="auto" w:line="285" w:before="0" w:after="0"/>
              <w:ind w:left="0" w:right="0" w:hanging="0"/>
              <w:jc w:val="left"/>
            </w:pPr>
            <w:r>
              <w:t>​</w:t>
            </w:r>
          </w:p>
        </w:tc>
        <w:tc>
          <w:tcPr>
            <w:tcW w:w="212" w:type="dxa"/>
            <w:tcBorders/>
            <w:vAlign w:val="center"/>
          </w:tcPr>
          <w:p>
            <w:pPr>
              <w:pStyle w:val="TableContents"/>
              <w:bidi w:val="0"/>
              <w:spacing w:lineRule="auto" w:line="285" w:before="0" w:after="0"/>
              <w:ind w:left="0" w:right="0" w:hanging="0"/>
              <w:jc w:val="left"/>
            </w:pPr>
            <w:r>
              <w:t> </w:t>
            </w:r>
          </w:p>
        </w:tc>
        <w:tc>
          <w:tcPr>
            <w:tcW w:w="9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220</w:t>
            </w:r>
          </w:p>
        </w:tc>
      </w:tr>
      <w:tr>
        <w:tc>
          <w:tcPr>
            <w:tcW w:w="7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5" w:type="dxa"/>
            <w:tcBorders/>
            <w:shd w:fill="CCEEFF" w:val="clear"/>
            <w:vAlign w:val="center"/>
          </w:tcPr>
          <w:p>
            <w:pPr>
              <w:pStyle w:val="TableContents"/>
              <w:bidi w:val="0"/>
              <w:spacing w:lineRule="auto" w:line="285" w:before="0" w:after="0"/>
              <w:ind w:left="0" w:right="0" w:hanging="0"/>
              <w:jc w:val="left"/>
            </w:pPr>
            <w:r>
              <w:t>​</w:t>
            </w:r>
          </w:p>
        </w:tc>
        <w:tc>
          <w:tcPr>
            <w:tcW w:w="90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2" w:type="dxa"/>
            <w:tcBorders/>
            <w:shd w:fill="CCEEFF" w:val="clear"/>
            <w:vAlign w:val="center"/>
          </w:tcPr>
          <w:p>
            <w:pPr>
              <w:pStyle w:val="TableContents"/>
              <w:bidi w:val="0"/>
              <w:spacing w:lineRule="auto" w:line="285" w:before="0" w:after="0"/>
              <w:ind w:left="0" w:right="0" w:hanging="0"/>
              <w:jc w:val="left"/>
            </w:pPr>
            <w:r>
              <w:t>​</w:t>
            </w:r>
          </w:p>
        </w:tc>
        <w:tc>
          <w:tcPr>
            <w:tcW w:w="9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839</w:t>
            </w:r>
          </w:p>
        </w:tc>
      </w:tr>
      <w:tr>
        <w:tc>
          <w:tcPr>
            <w:tcW w:w="72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Investment in Angel Pharmaceuticals</w:t>
            </w:r>
          </w:p>
        </w:tc>
        <w:tc>
          <w:tcPr>
            <w:tcW w:w="346" w:type="dxa"/>
            <w:tcBorders/>
            <w:vAlign w:val="center"/>
          </w:tcPr>
          <w:p>
            <w:pPr>
              <w:pStyle w:val="TableContents"/>
              <w:bidi w:val="0"/>
              <w:spacing w:lineRule="auto" w:line="285" w:before="0" w:after="0"/>
              <w:ind w:left="0" w:right="0" w:hanging="0"/>
              <w:jc w:val="left"/>
            </w:pPr>
            <w:r>
              <w:t>​</w:t>
            </w:r>
          </w:p>
        </w:tc>
        <w:tc>
          <w:tcPr>
            <w:tcW w:w="215" w:type="dxa"/>
            <w:tcBorders/>
            <w:vAlign w:val="center"/>
          </w:tcPr>
          <w:p>
            <w:pPr>
              <w:pStyle w:val="TableContents"/>
              <w:bidi w:val="0"/>
              <w:spacing w:lineRule="auto" w:line="285" w:before="0" w:after="0"/>
              <w:ind w:left="0" w:right="0" w:hanging="0"/>
              <w:jc w:val="left"/>
            </w:pPr>
            <w:r>
              <w:t>​</w:t>
            </w:r>
          </w:p>
        </w:tc>
        <w:tc>
          <w:tcPr>
            <w:tcW w:w="90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14,466</w:t>
            </w:r>
          </w:p>
        </w:tc>
        <w:tc>
          <w:tcPr>
            <w:tcW w:w="346" w:type="dxa"/>
            <w:tcBorders/>
            <w:vAlign w:val="center"/>
          </w:tcPr>
          <w:p>
            <w:pPr>
              <w:pStyle w:val="TableContents"/>
              <w:bidi w:val="0"/>
              <w:spacing w:lineRule="auto" w:line="285" w:before="0" w:after="0"/>
              <w:ind w:left="0" w:right="0" w:hanging="0"/>
              <w:jc w:val="left"/>
            </w:pPr>
            <w:r>
              <w:t>​</w:t>
            </w:r>
          </w:p>
        </w:tc>
        <w:tc>
          <w:tcPr>
            <w:tcW w:w="212" w:type="dxa"/>
            <w:tcBorders/>
            <w:vAlign w:val="center"/>
          </w:tcPr>
          <w:p>
            <w:pPr>
              <w:pStyle w:val="TableContents"/>
              <w:bidi w:val="0"/>
              <w:spacing w:lineRule="auto" w:line="285" w:before="0" w:after="0"/>
              <w:ind w:left="0" w:right="0" w:hanging="0"/>
              <w:jc w:val="left"/>
            </w:pPr>
            <w:r>
              <w:t>​</w:t>
            </w:r>
          </w:p>
        </w:tc>
        <w:tc>
          <w:tcPr>
            <w:tcW w:w="9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10,991</w:t>
            </w:r>
          </w:p>
        </w:tc>
      </w:tr>
      <w:tr>
        <w:tc>
          <w:tcPr>
            <w:tcW w:w="7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9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1,703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9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855</w:t>
            </w:r>
          </w:p>
        </w:tc>
      </w:tr>
      <w:tr>
        <w:tc>
          <w:tcPr>
            <w:tcW w:w="72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lineRule="auto" w:line="285" w:before="0" w:after="0"/>
              <w:ind w:left="0" w:right="0" w:hanging="0"/>
              <w:jc w:val="left"/>
            </w:pPr>
            <w:r>
              <w:t>​</w:t>
            </w:r>
          </w:p>
        </w:tc>
        <w:tc>
          <w:tcPr>
            <w:tcW w:w="21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223,878</w:t>
            </w:r>
          </w:p>
        </w:tc>
        <w:tc>
          <w:tcPr>
            <w:tcW w:w="346" w:type="dxa"/>
            <w:tcBorders/>
            <w:vAlign w:val="center"/>
          </w:tcPr>
          <w:p>
            <w:pPr>
              <w:pStyle w:val="TableContents"/>
              <w:bidi w:val="0"/>
              <w:spacing w:lineRule="auto" w:line="285" w:before="0" w:after="0"/>
              <w:ind w:left="0" w:right="0" w:hanging="0"/>
              <w:jc w:val="left"/>
            </w:pPr>
            <w:r>
              <w:t>​</w:t>
            </w:r>
          </w:p>
        </w:tc>
        <w:tc>
          <w:tcPr>
            <w:tcW w:w="21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71,119</w:t>
            </w:r>
          </w:p>
        </w:tc>
      </w:tr>
      <w:tr>
        <w:tc>
          <w:tcPr>
            <w:tcW w:w="7263" w:type="dxa"/>
            <w:tcBorders/>
            <w:shd w:fill="CCEEFF" w:val="clear"/>
            <w:vAlign w:val="center"/>
          </w:tcPr>
          <w:p>
            <w:pPr>
              <w:pStyle w:val="TableContents"/>
              <w:bidi w:val="0"/>
              <w:spacing w:lineRule="auto" w:line="285" w:before="0" w:after="0"/>
              <w:ind w:left="0" w:right="0" w:hanging="0"/>
              <w:jc w:val="lef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5" w:type="dxa"/>
            <w:tcBorders/>
            <w:shd w:fill="CCEEFF" w:val="clear"/>
            <w:vAlign w:val="center"/>
          </w:tcPr>
          <w:p>
            <w:pPr>
              <w:pStyle w:val="TableContents"/>
              <w:bidi w:val="0"/>
              <w:spacing w:lineRule="auto" w:line="285" w:before="0" w:after="0"/>
              <w:ind w:left="0" w:right="0" w:hanging="0"/>
              <w:jc w:val="left"/>
            </w:pPr>
            <w:r>
              <w:t>​</w:t>
            </w:r>
          </w:p>
        </w:tc>
        <w:tc>
          <w:tcPr>
            <w:tcW w:w="908"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2" w:type="dxa"/>
            <w:tcBorders/>
            <w:shd w:fill="CCEEFF" w:val="clear"/>
            <w:vAlign w:val="center"/>
          </w:tcPr>
          <w:p>
            <w:pPr>
              <w:pStyle w:val="TableContents"/>
              <w:bidi w:val="0"/>
              <w:spacing w:lineRule="auto" w:line="285" w:before="0" w:after="0"/>
              <w:ind w:left="0" w:right="0" w:hanging="0"/>
              <w:jc w:val="left"/>
            </w:pPr>
            <w:r>
              <w:t>​</w:t>
            </w:r>
          </w:p>
        </w:tc>
        <w:tc>
          <w:tcPr>
            <w:tcW w:w="915" w:type="dxa"/>
            <w:tcBorders/>
            <w:shd w:fill="CCEEFF" w:val="clear"/>
            <w:vAlign w:val="center"/>
          </w:tcPr>
          <w:p>
            <w:pPr>
              <w:pStyle w:val="TableContents"/>
              <w:bidi w:val="0"/>
              <w:spacing w:lineRule="auto" w:line="285" w:before="0" w:after="0"/>
              <w:ind w:left="0" w:right="0" w:hanging="0"/>
              <w:jc w:val="right"/>
            </w:pPr>
            <w:r>
              <w:t>​</w:t>
            </w:r>
          </w:p>
        </w:tc>
      </w:tr>
      <w:tr>
        <w:tc>
          <w:tcPr>
            <w:tcW w:w="7263"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lineRule="auto" w:line="285" w:before="0" w:after="0"/>
              <w:ind w:left="0" w:right="0" w:hanging="0"/>
              <w:jc w:val="left"/>
            </w:pPr>
            <w:r>
              <w:t>​</w:t>
            </w:r>
          </w:p>
        </w:tc>
        <w:tc>
          <w:tcPr>
            <w:tcW w:w="215" w:type="dxa"/>
            <w:tcBorders/>
            <w:vAlign w:val="center"/>
          </w:tcPr>
          <w:p>
            <w:pPr>
              <w:pStyle w:val="TableContents"/>
              <w:bidi w:val="0"/>
              <w:spacing w:lineRule="auto" w:line="285" w:before="0" w:after="0"/>
              <w:ind w:left="0" w:right="0" w:hanging="0"/>
              <w:jc w:val="left"/>
            </w:pPr>
            <w:r>
              <w:t> </w:t>
            </w:r>
          </w:p>
        </w:tc>
        <w:tc>
          <w:tcPr>
            <w:tcW w:w="908"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12" w:type="dxa"/>
            <w:tcBorders/>
            <w:vAlign w:val="center"/>
          </w:tcPr>
          <w:p>
            <w:pPr>
              <w:pStyle w:val="TableContents"/>
              <w:bidi w:val="0"/>
              <w:spacing w:lineRule="auto" w:line="285" w:before="0" w:after="0"/>
              <w:ind w:left="0" w:right="0" w:hanging="0"/>
              <w:jc w:val="left"/>
            </w:pPr>
            <w:r>
              <w:t> </w:t>
            </w:r>
          </w:p>
        </w:tc>
        <w:tc>
          <w:tcPr>
            <w:tcW w:w="915" w:type="dxa"/>
            <w:tcBorders/>
            <w:vAlign w:val="center"/>
          </w:tcPr>
          <w:p>
            <w:pPr>
              <w:pStyle w:val="TableContents"/>
              <w:bidi w:val="0"/>
              <w:spacing w:lineRule="auto" w:line="285" w:before="0" w:after="0"/>
              <w:ind w:left="0" w:right="0" w:hanging="0"/>
              <w:jc w:val="right"/>
            </w:pPr>
            <w:r>
              <w:t>  ​</w:t>
            </w:r>
          </w:p>
        </w:tc>
      </w:tr>
      <w:tr>
        <w:tc>
          <w:tcPr>
            <w:tcW w:w="7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5" w:type="dxa"/>
            <w:tcBorders/>
            <w:shd w:fill="CCEEFF" w:val="clear"/>
            <w:vAlign w:val="center"/>
          </w:tcPr>
          <w:p>
            <w:pPr>
              <w:pStyle w:val="TableContents"/>
              <w:bidi w:val="0"/>
              <w:spacing w:lineRule="auto" w:line="285" w:before="0" w:after="0"/>
              <w:ind w:left="0" w:right="0" w:hanging="0"/>
              <w:jc w:val="left"/>
            </w:pPr>
            <w:r>
              <w:t> </w:t>
            </w:r>
          </w:p>
        </w:tc>
        <w:tc>
          <w:tcPr>
            <w:tcW w:w="908"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2" w:type="dxa"/>
            <w:tcBorders/>
            <w:shd w:fill="CCEEFF" w:val="clear"/>
            <w:vAlign w:val="center"/>
          </w:tcPr>
          <w:p>
            <w:pPr>
              <w:pStyle w:val="TableContents"/>
              <w:bidi w:val="0"/>
              <w:spacing w:lineRule="auto" w:line="285" w:before="0" w:after="0"/>
              <w:ind w:left="0" w:right="0" w:hanging="0"/>
              <w:jc w:val="left"/>
            </w:pPr>
            <w:r>
              <w:t> </w:t>
            </w:r>
          </w:p>
        </w:tc>
        <w:tc>
          <w:tcPr>
            <w:tcW w:w="915" w:type="dxa"/>
            <w:tcBorders/>
            <w:shd w:fill="CCEEFF" w:val="clear"/>
            <w:vAlign w:val="center"/>
          </w:tcPr>
          <w:p>
            <w:pPr>
              <w:pStyle w:val="TableContents"/>
              <w:bidi w:val="0"/>
              <w:spacing w:lineRule="auto" w:line="285" w:before="0" w:after="0"/>
              <w:ind w:left="0" w:right="0" w:hanging="0"/>
              <w:jc w:val="right"/>
            </w:pPr>
            <w:r>
              <w:t>  ​</w:t>
            </w:r>
          </w:p>
        </w:tc>
      </w:tr>
      <w:tr>
        <w:tc>
          <w:tcPr>
            <w:tcW w:w="72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lineRule="auto" w:line="285" w:before="0" w:after="0"/>
              <w:ind w:left="0" w:right="0" w:hanging="0"/>
              <w:jc w:val="left"/>
            </w:pPr>
            <w:r>
              <w:t>​</w:t>
            </w:r>
          </w:p>
        </w:tc>
        <w:tc>
          <w:tcPr>
            <w:tcW w:w="2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5,646</w:t>
            </w:r>
          </w:p>
        </w:tc>
        <w:tc>
          <w:tcPr>
            <w:tcW w:w="346" w:type="dxa"/>
            <w:tcBorders/>
            <w:vAlign w:val="center"/>
          </w:tcPr>
          <w:p>
            <w:pPr>
              <w:pStyle w:val="TableContents"/>
              <w:bidi w:val="0"/>
              <w:spacing w:lineRule="auto" w:line="285" w:before="0" w:after="0"/>
              <w:ind w:left="0" w:right="0" w:hanging="0"/>
              <w:jc w:val="left"/>
            </w:pPr>
            <w:r>
              <w:t>​</w:t>
            </w:r>
          </w:p>
        </w:tc>
        <w:tc>
          <w:tcPr>
            <w:tcW w:w="21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2,491</w:t>
            </w:r>
          </w:p>
        </w:tc>
      </w:tr>
      <w:tr>
        <w:tc>
          <w:tcPr>
            <w:tcW w:w="7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5" w:type="dxa"/>
            <w:tcBorders/>
            <w:shd w:fill="CCEEFF" w:val="clear"/>
            <w:vAlign w:val="center"/>
          </w:tcPr>
          <w:p>
            <w:pPr>
              <w:pStyle w:val="TableContents"/>
              <w:bidi w:val="0"/>
              <w:spacing w:lineRule="auto" w:line="285" w:before="0" w:after="0"/>
              <w:ind w:left="0" w:right="0" w:hanging="0"/>
              <w:jc w:val="left"/>
            </w:pPr>
            <w:r>
              <w:t>​</w:t>
            </w:r>
          </w:p>
        </w:tc>
        <w:tc>
          <w:tcPr>
            <w:tcW w:w="90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2" w:type="dxa"/>
            <w:tcBorders/>
            <w:shd w:fill="CCEEFF" w:val="clear"/>
            <w:vAlign w:val="center"/>
          </w:tcPr>
          <w:p>
            <w:pPr>
              <w:pStyle w:val="TableContents"/>
              <w:bidi w:val="0"/>
              <w:spacing w:lineRule="auto" w:line="285" w:before="0" w:after="0"/>
              <w:ind w:left="0" w:right="0" w:hanging="0"/>
              <w:jc w:val="left"/>
            </w:pPr>
            <w:r>
              <w:t>​</w:t>
            </w:r>
          </w:p>
        </w:tc>
        <w:tc>
          <w:tcPr>
            <w:tcW w:w="9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403</w:t>
            </w:r>
          </w:p>
        </w:tc>
      </w:tr>
      <w:tr>
        <w:tc>
          <w:tcPr>
            <w:tcW w:w="72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and other liabilities</w:t>
            </w:r>
          </w:p>
        </w:tc>
        <w:tc>
          <w:tcPr>
            <w:tcW w:w="346" w:type="dxa"/>
            <w:tcBorders/>
            <w:vAlign w:val="center"/>
          </w:tcPr>
          <w:p>
            <w:pPr>
              <w:pStyle w:val="TableContents"/>
              <w:bidi w:val="0"/>
              <w:spacing w:lineRule="auto" w:line="285" w:before="0" w:after="0"/>
              <w:ind w:left="0" w:right="0" w:hanging="0"/>
              <w:jc w:val="left"/>
            </w:pPr>
            <w:r>
              <w:t>​</w:t>
            </w:r>
          </w:p>
        </w:tc>
        <w:tc>
          <w:tcPr>
            <w:tcW w:w="215"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90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9,279</w:t>
            </w:r>
          </w:p>
        </w:tc>
        <w:tc>
          <w:tcPr>
            <w:tcW w:w="346" w:type="dxa"/>
            <w:tcBorders/>
            <w:vAlign w:val="center"/>
          </w:tcPr>
          <w:p>
            <w:pPr>
              <w:pStyle w:val="TableContents"/>
              <w:bidi w:val="0"/>
              <w:spacing w:lineRule="auto" w:line="285" w:before="0" w:after="0"/>
              <w:ind w:left="0" w:right="0" w:hanging="0"/>
              <w:jc w:val="left"/>
            </w:pPr>
            <w: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91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6,486</w:t>
            </w:r>
          </w:p>
        </w:tc>
      </w:tr>
      <w:tr>
        <w:tc>
          <w:tcPr>
            <w:tcW w:w="7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9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15,418</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9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9,380</w:t>
            </w:r>
          </w:p>
        </w:tc>
      </w:tr>
      <w:tr>
        <w:tc>
          <w:tcPr>
            <w:tcW w:w="72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346" w:type="dxa"/>
            <w:tcBorders/>
            <w:vAlign w:val="center"/>
          </w:tcPr>
          <w:p>
            <w:pPr>
              <w:pStyle w:val="TableContents"/>
              <w:bidi w:val="0"/>
              <w:spacing w:lineRule="auto" w:line="285" w:before="0" w:after="0"/>
              <w:ind w:left="0" w:right="0" w:hanging="0"/>
              <w:jc w:val="left"/>
            </w:pPr>
            <w:r>
              <w:t>​</w:t>
            </w:r>
          </w:p>
        </w:tc>
        <w:tc>
          <w:tcPr>
            <w:tcW w:w="215"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90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46" w:type="dxa"/>
            <w:tcBorders/>
            <w:vAlign w:val="center"/>
          </w:tcPr>
          <w:p>
            <w:pPr>
              <w:pStyle w:val="TableContents"/>
              <w:bidi w:val="0"/>
              <w:spacing w:lineRule="auto" w:line="285" w:before="0" w:after="0"/>
              <w:ind w:left="0" w:right="0" w:hanging="0"/>
              <w:jc w:val="left"/>
            </w:pPr>
            <w: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91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534</w:t>
            </w:r>
          </w:p>
        </w:tc>
      </w:tr>
      <w:tr>
        <w:tc>
          <w:tcPr>
            <w:tcW w:w="7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9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15,557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9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9,914</w:t>
            </w:r>
          </w:p>
        </w:tc>
      </w:tr>
      <w:tr>
        <w:tc>
          <w:tcPr>
            <w:tcW w:w="72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Commitments and contingencies </w:t>
            </w:r>
            <w:r>
              <w:rPr>
                <w:rFonts w:ascii="Times New Roman;Times;serif" w:hAnsi="Times New Roman;Times;serif"/>
                <w:i/>
                <w:sz w:val="20"/>
              </w:rPr>
              <w:t>(Note 15)</w:t>
            </w:r>
          </w:p>
        </w:tc>
        <w:tc>
          <w:tcPr>
            <w:tcW w:w="346" w:type="dxa"/>
            <w:tcBorders/>
            <w:vAlign w:val="center"/>
          </w:tcPr>
          <w:p>
            <w:pPr>
              <w:pStyle w:val="TableContents"/>
              <w:bidi w:val="0"/>
              <w:spacing w:lineRule="auto" w:line="285" w:before="0" w:after="0"/>
              <w:ind w:left="0" w:right="0" w:hanging="0"/>
              <w:jc w:val="left"/>
            </w:pPr>
            <w:r>
              <w:t>​</w:t>
            </w:r>
          </w:p>
        </w:tc>
        <w:tc>
          <w:tcPr>
            <w:tcW w:w="215" w:type="dxa"/>
            <w:tcBorders/>
            <w:vAlign w:val="center"/>
          </w:tcPr>
          <w:p>
            <w:pPr>
              <w:pStyle w:val="TableContents"/>
              <w:bidi w:val="0"/>
              <w:spacing w:lineRule="auto" w:line="285" w:before="0" w:after="0"/>
              <w:ind w:left="0" w:right="0" w:hanging="0"/>
              <w:jc w:val="left"/>
            </w:pPr>
            <w:r>
              <w:t> </w:t>
            </w:r>
          </w:p>
        </w:tc>
        <w:tc>
          <w:tcPr>
            <w:tcW w:w="908" w:type="dxa"/>
            <w:tcBorders/>
            <w:vAlign w:val="center"/>
          </w:tcPr>
          <w:p>
            <w:pPr>
              <w:pStyle w:val="TableContents"/>
              <w:bidi w:val="0"/>
              <w:spacing w:lineRule="auto" w:line="285" w:before="0" w:after="0"/>
              <w:ind w:left="0" w:right="0" w:hanging="0"/>
              <w:jc w:val="right"/>
            </w:pPr>
            <w:r>
              <w:t>  ​</w:t>
            </w:r>
          </w:p>
        </w:tc>
        <w:tc>
          <w:tcPr>
            <w:tcW w:w="346" w:type="dxa"/>
            <w:tcBorders/>
            <w:vAlign w:val="center"/>
          </w:tcPr>
          <w:p>
            <w:pPr>
              <w:pStyle w:val="TableContents"/>
              <w:bidi w:val="0"/>
              <w:spacing w:lineRule="auto" w:line="285" w:before="0" w:after="0"/>
              <w:ind w:left="0" w:right="0" w:hanging="0"/>
              <w:jc w:val="left"/>
            </w:pPr>
            <w:r>
              <w:t>​</w:t>
            </w:r>
          </w:p>
        </w:tc>
        <w:tc>
          <w:tcPr>
            <w:tcW w:w="212" w:type="dxa"/>
            <w:tcBorders/>
            <w:vAlign w:val="center"/>
          </w:tcPr>
          <w:p>
            <w:pPr>
              <w:pStyle w:val="TableContents"/>
              <w:bidi w:val="0"/>
              <w:spacing w:lineRule="auto" w:line="285" w:before="0" w:after="0"/>
              <w:ind w:left="0" w:right="0" w:hanging="0"/>
              <w:jc w:val="left"/>
            </w:pPr>
            <w:r>
              <w:t> </w:t>
            </w:r>
          </w:p>
        </w:tc>
        <w:tc>
          <w:tcPr>
            <w:tcW w:w="915" w:type="dxa"/>
            <w:tcBorders/>
            <w:vAlign w:val="center"/>
          </w:tcPr>
          <w:p>
            <w:pPr>
              <w:pStyle w:val="TableContents"/>
              <w:bidi w:val="0"/>
              <w:spacing w:lineRule="auto" w:line="285" w:before="0" w:after="0"/>
              <w:ind w:left="0" w:right="0" w:hanging="0"/>
              <w:jc w:val="right"/>
            </w:pPr>
            <w:r>
              <w:t>  ​</w:t>
            </w:r>
          </w:p>
        </w:tc>
      </w:tr>
      <w:tr>
        <w:tc>
          <w:tcPr>
            <w:tcW w:w="7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5" w:type="dxa"/>
            <w:tcBorders/>
            <w:shd w:fill="CCEEFF" w:val="clear"/>
            <w:vAlign w:val="center"/>
          </w:tcPr>
          <w:p>
            <w:pPr>
              <w:pStyle w:val="TableContents"/>
              <w:bidi w:val="0"/>
              <w:spacing w:lineRule="auto" w:line="285" w:before="0" w:after="0"/>
              <w:ind w:left="0" w:right="0" w:hanging="0"/>
              <w:jc w:val="left"/>
            </w:pPr>
            <w:r>
              <w:t> </w:t>
            </w:r>
          </w:p>
        </w:tc>
        <w:tc>
          <w:tcPr>
            <w:tcW w:w="908"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2" w:type="dxa"/>
            <w:tcBorders/>
            <w:shd w:fill="CCEEFF" w:val="clear"/>
            <w:vAlign w:val="center"/>
          </w:tcPr>
          <w:p>
            <w:pPr>
              <w:pStyle w:val="TableContents"/>
              <w:bidi w:val="0"/>
              <w:spacing w:lineRule="auto" w:line="285" w:before="0" w:after="0"/>
              <w:ind w:left="0" w:right="0" w:hanging="0"/>
              <w:jc w:val="left"/>
            </w:pPr>
            <w:r>
              <w:t> </w:t>
            </w:r>
          </w:p>
        </w:tc>
        <w:tc>
          <w:tcPr>
            <w:tcW w:w="915" w:type="dxa"/>
            <w:tcBorders/>
            <w:shd w:fill="CCEEFF" w:val="clear"/>
            <w:vAlign w:val="center"/>
          </w:tcPr>
          <w:p>
            <w:pPr>
              <w:pStyle w:val="TableContents"/>
              <w:bidi w:val="0"/>
              <w:spacing w:lineRule="auto" w:line="285" w:before="0" w:after="0"/>
              <w:ind w:left="0" w:right="0" w:hanging="0"/>
              <w:jc w:val="right"/>
            </w:pPr>
            <w:r>
              <w:t>  ​</w:t>
            </w:r>
          </w:p>
        </w:tc>
      </w:tr>
      <w:tr>
        <w:tc>
          <w:tcPr>
            <w:tcW w:w="72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Preferred stock: $0.0001 par value; 10,000,000 shares authorized at September 30, 2026 and December 31, 2025; 0 shares issued and outstanding at each of September 30, 2026 and December 31, 2025</w:t>
            </w:r>
          </w:p>
        </w:tc>
        <w:tc>
          <w:tcPr>
            <w:tcW w:w="346" w:type="dxa"/>
            <w:tcBorders/>
            <w:vAlign w:val="center"/>
          </w:tcPr>
          <w:p>
            <w:pPr>
              <w:pStyle w:val="TableContents"/>
              <w:bidi w:val="0"/>
              <w:spacing w:lineRule="auto" w:line="285" w:before="0" w:after="0"/>
              <w:ind w:left="0" w:right="0" w:hanging="0"/>
              <w:jc w:val="left"/>
            </w:pPr>
            <w:r>
              <w:t>​</w:t>
            </w:r>
          </w:p>
        </w:tc>
        <w:tc>
          <w:tcPr>
            <w:tcW w:w="215" w:type="dxa"/>
            <w:tcBorders/>
            <w:vAlign w:val="center"/>
          </w:tcPr>
          <w:p>
            <w:pPr>
              <w:pStyle w:val="TableContents"/>
              <w:bidi w:val="0"/>
              <w:spacing w:lineRule="auto" w:line="285" w:before="0" w:after="0"/>
              <w:ind w:left="0" w:right="0" w:hanging="0"/>
              <w:jc w:val="left"/>
            </w:pPr>
            <w:r>
              <w:t>​</w:t>
            </w:r>
          </w:p>
        </w:tc>
        <w:tc>
          <w:tcPr>
            <w:tcW w:w="908" w:type="dxa"/>
            <w:tcBorders/>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lineRule="auto" w:line="285" w:before="0" w:after="0"/>
              <w:ind w:left="0" w:right="0" w:hanging="0"/>
              <w:jc w:val="left"/>
            </w:pPr>
            <w:r>
              <w:t>​</w:t>
            </w:r>
          </w:p>
        </w:tc>
        <w:tc>
          <w:tcPr>
            <w:tcW w:w="212" w:type="dxa"/>
            <w:tcBorders/>
            <w:vAlign w:val="center"/>
          </w:tcPr>
          <w:p>
            <w:pPr>
              <w:pStyle w:val="TableContents"/>
              <w:bidi w:val="0"/>
              <w:spacing w:lineRule="auto" w:line="285" w:before="0" w:after="0"/>
              <w:ind w:left="0" w:right="0" w:hanging="0"/>
              <w:jc w:val="left"/>
            </w:pPr>
            <w:r>
              <w:t>​</w:t>
            </w:r>
          </w:p>
        </w:tc>
        <w:tc>
          <w:tcPr>
            <w:tcW w:w="915" w:type="dxa"/>
            <w:tcBorders/>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r>
      <w:tr>
        <w:tc>
          <w:tcPr>
            <w:tcW w:w="7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Common stock: $0.0001 par value; 290,000,000 shares authorized at September 30, 2026 and December 31, 2025; 84,319,376 and 74,696,629 shares issued and outstanding at September 30, 2026 and December 31, 2025, respectively</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5" w:type="dxa"/>
            <w:tcBorders/>
            <w:shd w:fill="CCEEFF" w:val="clear"/>
            <w:vAlign w:val="center"/>
          </w:tcPr>
          <w:p>
            <w:pPr>
              <w:pStyle w:val="TableContents"/>
              <w:bidi w:val="0"/>
              <w:spacing w:lineRule="auto" w:line="285" w:before="0" w:after="0"/>
              <w:ind w:left="0" w:right="0" w:hanging="0"/>
              <w:jc w:val="left"/>
            </w:pPr>
            <w:r>
              <w:t> </w:t>
            </w:r>
          </w:p>
        </w:tc>
        <w:tc>
          <w:tcPr>
            <w:tcW w:w="90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2" w:type="dxa"/>
            <w:tcBorders/>
            <w:shd w:fill="CCEEFF" w:val="clear"/>
            <w:vAlign w:val="center"/>
          </w:tcPr>
          <w:p>
            <w:pPr>
              <w:pStyle w:val="TableContents"/>
              <w:bidi w:val="0"/>
              <w:spacing w:lineRule="auto" w:line="285" w:before="0" w:after="0"/>
              <w:ind w:left="0" w:right="0" w:hanging="0"/>
              <w:jc w:val="left"/>
            </w:pPr>
            <w:r>
              <w:t> </w:t>
            </w:r>
          </w:p>
        </w:tc>
        <w:tc>
          <w:tcPr>
            <w:tcW w:w="9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c>
          <w:tcPr>
            <w:tcW w:w="72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lineRule="auto" w:line="285" w:before="0" w:after="0"/>
              <w:ind w:left="0" w:right="0" w:hanging="0"/>
              <w:jc w:val="left"/>
            </w:pPr>
            <w:r>
              <w:t>​</w:t>
            </w:r>
          </w:p>
        </w:tc>
        <w:tc>
          <w:tcPr>
            <w:tcW w:w="215" w:type="dxa"/>
            <w:tcBorders/>
            <w:vAlign w:val="center"/>
          </w:tcPr>
          <w:p>
            <w:pPr>
              <w:pStyle w:val="TableContents"/>
              <w:bidi w:val="0"/>
              <w:spacing w:lineRule="auto" w:line="285" w:before="0" w:after="0"/>
              <w:ind w:left="0" w:right="0" w:hanging="0"/>
              <w:jc w:val="left"/>
            </w:pPr>
            <w:r>
              <w:t> </w:t>
            </w:r>
          </w:p>
        </w:tc>
        <w:tc>
          <w:tcPr>
            <w:tcW w:w="90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674,191</w:t>
            </w:r>
          </w:p>
        </w:tc>
        <w:tc>
          <w:tcPr>
            <w:tcW w:w="346" w:type="dxa"/>
            <w:tcBorders/>
            <w:vAlign w:val="center"/>
          </w:tcPr>
          <w:p>
            <w:pPr>
              <w:pStyle w:val="TableContents"/>
              <w:bidi w:val="0"/>
              <w:spacing w:lineRule="auto" w:line="285" w:before="0" w:after="0"/>
              <w:ind w:left="0" w:right="0" w:hanging="0"/>
              <w:jc w:val="left"/>
            </w:pPr>
            <w:r>
              <w:t>​</w:t>
            </w:r>
          </w:p>
        </w:tc>
        <w:tc>
          <w:tcPr>
            <w:tcW w:w="212" w:type="dxa"/>
            <w:tcBorders/>
            <w:vAlign w:val="center"/>
          </w:tcPr>
          <w:p>
            <w:pPr>
              <w:pStyle w:val="TableContents"/>
              <w:bidi w:val="0"/>
              <w:spacing w:lineRule="auto" w:line="285" w:before="0" w:after="0"/>
              <w:ind w:left="0" w:right="0" w:hanging="0"/>
              <w:jc w:val="left"/>
            </w:pPr>
            <w:r>
              <w:t> </w:t>
            </w:r>
          </w:p>
        </w:tc>
        <w:tc>
          <w:tcPr>
            <w:tcW w:w="9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474,387</w:t>
            </w:r>
          </w:p>
        </w:tc>
      </w:tr>
      <w:tr>
        <w:tc>
          <w:tcPr>
            <w:tcW w:w="7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5" w:type="dxa"/>
            <w:tcBorders/>
            <w:shd w:fill="CCEEFF" w:val="clear"/>
            <w:vAlign w:val="center"/>
          </w:tcPr>
          <w:p>
            <w:pPr>
              <w:pStyle w:val="TableContents"/>
              <w:bidi w:val="0"/>
              <w:spacing w:lineRule="auto" w:line="285" w:before="0" w:after="0"/>
              <w:ind w:left="0" w:right="0" w:hanging="0"/>
              <w:jc w:val="left"/>
            </w:pPr>
            <w:r>
              <w:t> </w:t>
            </w:r>
          </w:p>
        </w:tc>
        <w:tc>
          <w:tcPr>
            <w:tcW w:w="90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(1,591)</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2" w:type="dxa"/>
            <w:tcBorders/>
            <w:shd w:fill="CCEEFF" w:val="clear"/>
            <w:vAlign w:val="center"/>
          </w:tcPr>
          <w:p>
            <w:pPr>
              <w:pStyle w:val="TableContents"/>
              <w:bidi w:val="0"/>
              <w:spacing w:lineRule="auto" w:line="285" w:before="0" w:after="0"/>
              <w:ind w:left="0" w:right="0" w:hanging="0"/>
              <w:jc w:val="left"/>
            </w:pPr>
            <w:r>
              <w:t> </w:t>
            </w:r>
          </w:p>
        </w:tc>
        <w:tc>
          <w:tcPr>
            <w:tcW w:w="9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(896)</w:t>
            </w:r>
          </w:p>
        </w:tc>
      </w:tr>
      <w:tr>
        <w:tc>
          <w:tcPr>
            <w:tcW w:w="72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vAlign w:val="center"/>
          </w:tcPr>
          <w:p>
            <w:pPr>
              <w:pStyle w:val="TableContents"/>
              <w:bidi w:val="0"/>
              <w:spacing w:lineRule="auto" w:line="285" w:before="0" w:after="0"/>
              <w:ind w:left="0" w:right="0" w:hanging="0"/>
              <w:jc w:val="left"/>
            </w:pPr>
            <w:r>
              <w:t>​</w:t>
            </w:r>
          </w:p>
        </w:tc>
        <w:tc>
          <w:tcPr>
            <w:tcW w:w="215"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90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(464,287)</w:t>
            </w:r>
          </w:p>
        </w:tc>
        <w:tc>
          <w:tcPr>
            <w:tcW w:w="346" w:type="dxa"/>
            <w:tcBorders/>
            <w:vAlign w:val="center"/>
          </w:tcPr>
          <w:p>
            <w:pPr>
              <w:pStyle w:val="TableContents"/>
              <w:bidi w:val="0"/>
              <w:spacing w:lineRule="auto" w:line="285" w:before="0" w:after="0"/>
              <w:ind w:left="0" w:right="0" w:hanging="0"/>
              <w:jc w:val="left"/>
            </w:pPr>
            <w: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91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(412,293)</w:t>
            </w:r>
          </w:p>
        </w:tc>
      </w:tr>
      <w:tr>
        <w:tc>
          <w:tcPr>
            <w:tcW w:w="7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9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208,321</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9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61,205</w:t>
            </w:r>
          </w:p>
        </w:tc>
      </w:tr>
      <w:tr>
        <w:tc>
          <w:tcPr>
            <w:tcW w:w="72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lineRule="auto" w:line="285" w:before="0" w:after="0"/>
              <w:ind w:left="0" w:right="0" w:hanging="0"/>
              <w:jc w:val="left"/>
            </w:pPr>
            <w:r>
              <w:t>​</w:t>
            </w:r>
          </w:p>
        </w:tc>
        <w:tc>
          <w:tcPr>
            <w:tcW w:w="21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223,878</w:t>
            </w:r>
          </w:p>
        </w:tc>
        <w:tc>
          <w:tcPr>
            <w:tcW w:w="346" w:type="dxa"/>
            <w:tcBorders/>
            <w:vAlign w:val="center"/>
          </w:tcPr>
          <w:p>
            <w:pPr>
              <w:pStyle w:val="TableContents"/>
              <w:bidi w:val="0"/>
              <w:spacing w:lineRule="auto" w:line="285" w:before="0" w:after="0"/>
              <w:ind w:left="0" w:right="0" w:hanging="0"/>
              <w:jc w:val="left"/>
            </w:pPr>
            <w:r>
              <w:t>​</w:t>
            </w:r>
          </w:p>
        </w:tc>
        <w:tc>
          <w:tcPr>
            <w:tcW w:w="21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71,119</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lineRule="auto" w:line="285" w:before="0" w:after="0"/>
        <w:ind w:left="0" w:right="0" w:hanging="0"/>
        <w:jc w:val="left"/>
      </w:pPr>
      <w: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123" w:name="_2b343a54_ef02_4ec9_850e_320bd6ff356f"/>
      <w:bookmarkEnd w:id="123"/>
      <w:r>
        <w:rPr>
          <w:rFonts w:ascii="Times New Roman;Times;serif" w:hAnsi="Times New Roman;Times;serif"/>
          <w:b/>
          <w:sz w:val="20"/>
        </w:rPr>
        <w:t>CORVUS PHARMACEUTICALS, INC.</w:t>
      </w:r>
    </w:p>
    <w:p>
      <w:pPr>
        <w:pStyle w:val="TextBody"/>
        <w:bidi w:val="0"/>
        <w:spacing w:lineRule="auto" w:line="285" w:before="0" w:after="0"/>
        <w:ind w:left="0" w:right="0" w:hanging="0"/>
        <w:jc w:val="center"/>
        <w:rPr>
          <w:rFonts w:ascii="Times New Roman;Times;serif" w:hAnsi="Times New Roman;Times;serif"/>
          <w:b/>
          <w:sz w:val="20"/>
        </w:rPr>
      </w:pPr>
      <w:bookmarkStart w:id="124" w:name="CONDENSEDCONSOLIDATEDSTATEMENTSOFOPERATI"/>
      <w:bookmarkEnd w:id="124"/>
      <w:r>
        <w:rPr>
          <w:rFonts w:ascii="Times New Roman;Times;serif" w:hAnsi="Times New Roman;Times;serif"/>
          <w:b/>
          <w:sz w:val="20"/>
        </w:rPr>
        <w:t>CONDENSED CONSOLIDATED STATEMENTS OF OPERATIONS AND COMPREHENSIVE LOSS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 thousands, except share and per share data)</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285" w:before="0" w:after="0"/>
        <w:ind w:left="0" w:right="0" w:hanging="0"/>
        <w:jc w:val="center"/>
      </w:pPr>
      <w:r>
        <w:t>​</w:t>
      </w:r>
    </w:p>
    <w:p>
      <w:pPr>
        <w:pStyle w:val="Normal"/>
        <w:bidi w:val="0"/>
        <w:spacing w:before="0" w:after="0"/>
        <w:jc w:val="left"/>
        <w:rPr>
          <w:sz w:val="4"/>
          <w:szCs w:val="4"/>
        </w:rPr>
      </w:pPr>
      <w:r>
        <w:rPr>
          <w:sz w:val="4"/>
          <w:szCs w:val="4"/>
        </w:rPr>
      </w:r>
      <w:bookmarkStart w:id="125" w:name="Tc_eoCwP8fw3U-ShLX6i3jXzA_21_11"/>
      <w:bookmarkStart w:id="126" w:name="Tc_8wixLnU2ukG1aqL8FsdlyA_21_8"/>
      <w:bookmarkStart w:id="127" w:name="Tc_V3y8Ip4XFUqtUOvgkiyIqQ_21_5"/>
      <w:bookmarkStart w:id="128" w:name="Tc_e4PeiUVo6kajz4mSK92PiQ_21_2"/>
      <w:bookmarkStart w:id="129" w:name="Tc_jSG9BzdZlEeo6c9JRPF1cQ_21_0"/>
      <w:bookmarkStart w:id="130" w:name="Tc_CIv0D2w2MUqEqV2NTdxIjA_20_0"/>
      <w:bookmarkStart w:id="131" w:name="Tc_xWIm_I0EIk2MrMpEpDvbng_19_0"/>
      <w:bookmarkStart w:id="132" w:name="Tc_DdvJhxq3x02vsqXmAbNGbA_18_0"/>
      <w:bookmarkStart w:id="133" w:name="Tc_sKRFFT6diUyc9UyXUzTxAA_17_0"/>
      <w:bookmarkStart w:id="134" w:name="Tc_MyWpudL7sU2oV4PsfG8T5w_16_0"/>
      <w:bookmarkStart w:id="135" w:name="Tc_9gwmH_5icUSoBPyhZjw6lw_15_11"/>
      <w:bookmarkStart w:id="136" w:name="Tc_RLKuBm-zPk-giQ63HhYWXw_15_8"/>
      <w:bookmarkStart w:id="137" w:name="Tc_HE2bDvdjakWUBfbo87CGFA_15_5"/>
      <w:bookmarkStart w:id="138" w:name="Tc_NBlqXsklIUO0Cnfd1Hs31Q_15_2"/>
      <w:bookmarkStart w:id="139" w:name="Tc_42LvZ77zZUKh4gEOoZ08kw_15_0"/>
      <w:bookmarkStart w:id="140" w:name="Tc_aCuq-akDpEeKKfLFY8-v4w_14_11"/>
      <w:bookmarkStart w:id="141" w:name="Tc_IfWiVhBiukS7aNdB5ImMfg_14_8"/>
      <w:bookmarkStart w:id="142" w:name="Tc_bm_G16Fs80O9NmIbCvq6xQ_14_5"/>
      <w:bookmarkStart w:id="143" w:name="Tc_TGZVxGnZakOuWNkJlc2u9g_14_2"/>
      <w:bookmarkStart w:id="144" w:name="Tc_sLj9k1rnbke5TfITq7YCTw_14_0"/>
      <w:bookmarkStart w:id="145" w:name="Tc_v9voweVI6kiG3B-sypF_yA_13_11"/>
      <w:bookmarkStart w:id="146" w:name="Tc_qA3ZnMFVZU6UUk51GyKPCg_13_8"/>
      <w:bookmarkStart w:id="147" w:name="Tc_GXREaV0HOkCweg4voJGrXA_13_5"/>
      <w:bookmarkStart w:id="148" w:name="Tc_Ijnna1E9lkWuZtUFIRGg0g_13_2"/>
      <w:bookmarkStart w:id="149" w:name="Tc_OpiYQvR3BEWmN2zRRdDJJA_13_0"/>
      <w:bookmarkStart w:id="150" w:name="Tc_-AsyOmavR0ebWhakKwjO2A_12_0"/>
      <w:bookmarkStart w:id="151" w:name="Tc_XXE5M1iv2E6_s6cLEWRz0g_11_0"/>
      <w:bookmarkStart w:id="152" w:name="Tc_-IPp3SpYoU6QHUd5YbO6dQ_10_9"/>
      <w:bookmarkStart w:id="153" w:name="Tc_tWON4WGhrkqbNyrd9zUhAw_10_6"/>
      <w:bookmarkStart w:id="154" w:name="Tc_yhqpEQIon02usfZwnK6fQA_10_3"/>
      <w:bookmarkStart w:id="155" w:name="Tc_ZZhkLjKHJEKs5Sk6pfsQUg_10_0"/>
      <w:bookmarkStart w:id="156" w:name="Tc_RGYMczs77EObFKtSrWEw6g_9_0"/>
      <w:bookmarkStart w:id="157" w:name="Tc_qd1fSZpDqUiCMQLoRZrlAQ_8_0"/>
      <w:bookmarkStart w:id="158" w:name="Tc_nYt1-_vBcEKFHowpCNL0nw_7_0"/>
      <w:bookmarkStart w:id="159" w:name="Tc_aR3ocIsxLEygxctk7Mv6_A_6_0"/>
      <w:bookmarkStart w:id="160" w:name="Tc_iRVilucufEq8ifQ5i6vkPw_5_11"/>
      <w:bookmarkStart w:id="161" w:name="Tc_6lPbu0EuDkeliagphLBY0Q_5_8"/>
      <w:bookmarkStart w:id="162" w:name="Tc_gh-U-pnICUSgBjNzG3WUPw_5_5"/>
      <w:bookmarkStart w:id="163" w:name="Tc_AVpe0MbC_ky0zsFh2swcrg_5_2"/>
      <w:bookmarkStart w:id="164" w:name="Tc_3DawV1GopUWC2uFL_dd8rw_5_0"/>
      <w:bookmarkStart w:id="165" w:name="Tc_pO-dOvl5SUG5tqkCxO2k0Q_4_0"/>
      <w:bookmarkStart w:id="166" w:name="Tc_1cXl_cBtU0epTLwms-TK5A_3_11"/>
      <w:bookmarkStart w:id="167" w:name="Tc_-WoKNSuEkE-bHGGsGWaNiw_3_8"/>
      <w:bookmarkStart w:id="168" w:name="Tc_jAUbWk1c2E-aa2KOjse7Ww_3_5"/>
      <w:bookmarkStart w:id="169" w:name="Tc_zTwz74JB1keLOcqN5VaH8g_3_2"/>
      <w:bookmarkStart w:id="170" w:name="Tc_LjVvYGSJkU-irFHNp1ShkA_2_8"/>
      <w:bookmarkStart w:id="171" w:name="Tc_yHEL2uKZXUaWjb3vyybXpg_2_2"/>
      <w:bookmarkStart w:id="172" w:name="Tc_kDDTj485F0SUAhjT733etw_1_8"/>
      <w:bookmarkStart w:id="173" w:name="Tc_2S0f9m2SdUOtdkNUThje2w_1_2"/>
      <w:bookmarkStart w:id="174" w:name="_eb43a729_0676_4a3a_9fae_e371a235dcaa"/>
      <w:bookmarkStart w:id="175" w:name="Tc_eoCwP8fw3U-ShLX6i3jXzA_21_11"/>
      <w:bookmarkStart w:id="176" w:name="Tc_8wixLnU2ukG1aqL8FsdlyA_21_8"/>
      <w:bookmarkStart w:id="177" w:name="Tc_V3y8Ip4XFUqtUOvgkiyIqQ_21_5"/>
      <w:bookmarkStart w:id="178" w:name="Tc_e4PeiUVo6kajz4mSK92PiQ_21_2"/>
      <w:bookmarkStart w:id="179" w:name="Tc_jSG9BzdZlEeo6c9JRPF1cQ_21_0"/>
      <w:bookmarkStart w:id="180" w:name="Tc_CIv0D2w2MUqEqV2NTdxIjA_20_0"/>
      <w:bookmarkStart w:id="181" w:name="Tc_xWIm_I0EIk2MrMpEpDvbng_19_0"/>
      <w:bookmarkStart w:id="182" w:name="Tc_DdvJhxq3x02vsqXmAbNGbA_18_0"/>
      <w:bookmarkStart w:id="183" w:name="Tc_sKRFFT6diUyc9UyXUzTxAA_17_0"/>
      <w:bookmarkStart w:id="184" w:name="Tc_MyWpudL7sU2oV4PsfG8T5w_16_0"/>
      <w:bookmarkStart w:id="185" w:name="Tc_9gwmH_5icUSoBPyhZjw6lw_15_11"/>
      <w:bookmarkStart w:id="186" w:name="Tc_RLKuBm-zPk-giQ63HhYWXw_15_8"/>
      <w:bookmarkStart w:id="187" w:name="Tc_HE2bDvdjakWUBfbo87CGFA_15_5"/>
      <w:bookmarkStart w:id="188" w:name="Tc_NBlqXsklIUO0Cnfd1Hs31Q_15_2"/>
      <w:bookmarkStart w:id="189" w:name="Tc_42LvZ77zZUKh4gEOoZ08kw_15_0"/>
      <w:bookmarkStart w:id="190" w:name="Tc_aCuq-akDpEeKKfLFY8-v4w_14_11"/>
      <w:bookmarkStart w:id="191" w:name="Tc_IfWiVhBiukS7aNdB5ImMfg_14_8"/>
      <w:bookmarkStart w:id="192" w:name="Tc_bm_G16Fs80O9NmIbCvq6xQ_14_5"/>
      <w:bookmarkStart w:id="193" w:name="Tc_TGZVxGnZakOuWNkJlc2u9g_14_2"/>
      <w:bookmarkStart w:id="194" w:name="Tc_sLj9k1rnbke5TfITq7YCTw_14_0"/>
      <w:bookmarkStart w:id="195" w:name="Tc_v9voweVI6kiG3B-sypF_yA_13_11"/>
      <w:bookmarkStart w:id="196" w:name="Tc_qA3ZnMFVZU6UUk51GyKPCg_13_8"/>
      <w:bookmarkStart w:id="197" w:name="Tc_GXREaV0HOkCweg4voJGrXA_13_5"/>
      <w:bookmarkStart w:id="198" w:name="Tc_Ijnna1E9lkWuZtUFIRGg0g_13_2"/>
      <w:bookmarkStart w:id="199" w:name="Tc_OpiYQvR3BEWmN2zRRdDJJA_13_0"/>
      <w:bookmarkStart w:id="200" w:name="Tc_-AsyOmavR0ebWhakKwjO2A_12_0"/>
      <w:bookmarkStart w:id="201" w:name="Tc_XXE5M1iv2E6_s6cLEWRz0g_11_0"/>
      <w:bookmarkStart w:id="202" w:name="Tc_-IPp3SpYoU6QHUd5YbO6dQ_10_9"/>
      <w:bookmarkStart w:id="203" w:name="Tc_tWON4WGhrkqbNyrd9zUhAw_10_6"/>
      <w:bookmarkStart w:id="204" w:name="Tc_yhqpEQIon02usfZwnK6fQA_10_3"/>
      <w:bookmarkStart w:id="205" w:name="Tc_ZZhkLjKHJEKs5Sk6pfsQUg_10_0"/>
      <w:bookmarkStart w:id="206" w:name="Tc_RGYMczs77EObFKtSrWEw6g_9_0"/>
      <w:bookmarkStart w:id="207" w:name="Tc_qd1fSZpDqUiCMQLoRZrlAQ_8_0"/>
      <w:bookmarkStart w:id="208" w:name="Tc_nYt1-_vBcEKFHowpCNL0nw_7_0"/>
      <w:bookmarkStart w:id="209" w:name="Tc_aR3ocIsxLEygxctk7Mv6_A_6_0"/>
      <w:bookmarkStart w:id="210" w:name="Tc_iRVilucufEq8ifQ5i6vkPw_5_11"/>
      <w:bookmarkStart w:id="211" w:name="Tc_6lPbu0EuDkeliagphLBY0Q_5_8"/>
      <w:bookmarkStart w:id="212" w:name="Tc_gh-U-pnICUSgBjNzG3WUPw_5_5"/>
      <w:bookmarkStart w:id="213" w:name="Tc_AVpe0MbC_ky0zsFh2swcrg_5_2"/>
      <w:bookmarkStart w:id="214" w:name="Tc_3DawV1GopUWC2uFL_dd8rw_5_0"/>
      <w:bookmarkStart w:id="215" w:name="Tc_pO-dOvl5SUG5tqkCxO2k0Q_4_0"/>
      <w:bookmarkStart w:id="216" w:name="Tc_1cXl_cBtU0epTLwms-TK5A_3_11"/>
      <w:bookmarkStart w:id="217" w:name="Tc_-WoKNSuEkE-bHGGsGWaNiw_3_8"/>
      <w:bookmarkStart w:id="218" w:name="Tc_jAUbWk1c2E-aa2KOjse7Ww_3_5"/>
      <w:bookmarkStart w:id="219" w:name="Tc_zTwz74JB1keLOcqN5VaH8g_3_2"/>
      <w:bookmarkStart w:id="220" w:name="Tc_LjVvYGSJkU-irFHNp1ShkA_2_8"/>
      <w:bookmarkStart w:id="221" w:name="Tc_yHEL2uKZXUaWjb3vyybXpg_2_2"/>
      <w:bookmarkStart w:id="222" w:name="Tc_kDDTj485F0SUAhjT733etw_1_8"/>
      <w:bookmarkStart w:id="223" w:name="Tc_2S0f9m2SdUOtdkNUThje2w_1_2"/>
      <w:bookmarkStart w:id="224" w:name="_eb43a729_0676_4a3a_9fae_e371a235dcaa"/>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tbl>
      <w:tblPr>
        <w:tblW w:w="10205" w:type="dxa"/>
        <w:jc w:val="left"/>
        <w:tblInd w:w="0" w:type="dxa"/>
        <w:tblLayout w:type="fixed"/>
        <w:tblCellMar>
          <w:top w:w="0" w:type="dxa"/>
          <w:left w:w="0" w:type="dxa"/>
          <w:bottom w:w="0" w:type="dxa"/>
          <w:right w:w="0" w:type="dxa"/>
        </w:tblCellMar>
      </w:tblPr>
      <w:tblGrid>
        <w:gridCol w:w="3442"/>
        <w:gridCol w:w="346"/>
        <w:gridCol w:w="211"/>
        <w:gridCol w:w="1036"/>
        <w:gridCol w:w="346"/>
        <w:gridCol w:w="211"/>
        <w:gridCol w:w="1036"/>
        <w:gridCol w:w="346"/>
        <w:gridCol w:w="211"/>
        <w:gridCol w:w="1036"/>
        <w:gridCol w:w="346"/>
        <w:gridCol w:w="211"/>
        <w:gridCol w:w="1036"/>
        <w:gridCol w:w="391"/>
      </w:tblGrid>
      <w:tr>
        <w:tc>
          <w:tcPr>
            <w:tcW w:w="3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85670" cy="175260"/>
                      <wp:effectExtent l="0" t="0" r="0" b="0"/>
                      <wp:wrapNone/>
                      <wp:docPr id="15" name="Frame15"/>
                      <a:graphic xmlns:a="http://schemas.openxmlformats.org/drawingml/2006/main">
                        <a:graphicData uri="http://schemas.microsoft.com/office/word/2010/wordprocessingShape">
                          <wps:wsp>
                            <wps:cNvSpPr txBox="1"/>
                            <wps:spPr>
                              <a:xfrm>
                                <a:off x="0" y="0"/>
                                <a:ext cx="218567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57860" cy="175260"/>
                      <wp:effectExtent l="0" t="0" r="0" b="0"/>
                      <wp:wrapNone/>
                      <wp:docPr id="21" name="Frame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57860" cy="175260"/>
                      <wp:effectExtent l="0" t="0" r="0" b="0"/>
                      <wp:wrapNone/>
                      <wp:docPr id="24" name="Frame2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57860" cy="175260"/>
                      <wp:effectExtent l="0" t="0" r="0" b="0"/>
                      <wp:wrapNone/>
                      <wp:docPr id="27" name="Frame2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48285" cy="175260"/>
                      <wp:effectExtent l="0" t="0" r="0" b="0"/>
                      <wp:wrapNone/>
                      <wp:docPr id="28" name="Frame2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3442"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284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left"/>
            </w:pPr>
            <w:r>
              <w:t>​</w:t>
            </w:r>
          </w:p>
        </w:tc>
        <w:tc>
          <w:tcPr>
            <w:tcW w:w="284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91" w:type="dxa"/>
            <w:tcBorders/>
            <w:vAlign w:val="center"/>
          </w:tcPr>
          <w:p>
            <w:pPr>
              <w:pStyle w:val="TableContents"/>
              <w:bidi w:val="0"/>
              <w:spacing w:lineRule="auto" w:line="285" w:before="0" w:after="0"/>
              <w:ind w:left="0" w:right="0" w:hanging="0"/>
              <w:jc w:val="left"/>
            </w:pPr>
            <w:r>
              <w:t>​</w:t>
            </w:r>
          </w:p>
        </w:tc>
      </w:tr>
      <w:tr>
        <w:tc>
          <w:tcPr>
            <w:tcW w:w="3442"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284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lineRule="auto" w:line="285" w:before="0" w:after="0"/>
              <w:ind w:left="0" w:right="0" w:hanging="0"/>
              <w:jc w:val="left"/>
            </w:pPr>
            <w:r>
              <w:t>​</w:t>
            </w:r>
          </w:p>
        </w:tc>
        <w:tc>
          <w:tcPr>
            <w:tcW w:w="284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91" w:type="dxa"/>
            <w:tcBorders/>
            <w:vAlign w:val="center"/>
          </w:tcPr>
          <w:p>
            <w:pPr>
              <w:pStyle w:val="TableContents"/>
              <w:bidi w:val="0"/>
              <w:spacing w:lineRule="auto" w:line="285" w:before="0" w:after="0"/>
              <w:ind w:left="0" w:right="0" w:hanging="0"/>
              <w:jc w:val="left"/>
            </w:pPr>
            <w:r>
              <w:t>​</w:t>
            </w:r>
          </w:p>
        </w:tc>
      </w:tr>
      <w:tr>
        <w:tc>
          <w:tcPr>
            <w:tcW w:w="3442"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pPr>
            <w: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pPr>
            <w: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pPr>
            <w: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pPr>
            <w:r>
              <w:t>  ​ ​ ​</w:t>
            </w:r>
          </w:p>
        </w:tc>
      </w:tr>
      <w:t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1036"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1036"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1036"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1036" w:type="dxa"/>
            <w:tcBorders/>
            <w:shd w:fill="CCEEFF" w:val="clear"/>
            <w:vAlign w:val="center"/>
          </w:tcPr>
          <w:p>
            <w:pPr>
              <w:pStyle w:val="TableContents"/>
              <w:bidi w:val="0"/>
              <w:spacing w:lineRule="auto" w:line="285" w:before="0" w:after="0"/>
              <w:ind w:left="0" w:right="0" w:hanging="0"/>
              <w:jc w:val="right"/>
            </w:pPr>
            <w:r>
              <w:t>  ​</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17,781</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8,454</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44,920</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23,780</w:t>
            </w:r>
          </w:p>
        </w:tc>
        <w:tc>
          <w:tcPr>
            <w:tcW w:w="391" w:type="dxa"/>
            <w:tcBorders/>
            <w:vAlign w:val="center"/>
          </w:tcPr>
          <w:p>
            <w:pPr>
              <w:pStyle w:val="TableContents"/>
              <w:bidi w:val="0"/>
              <w:spacing w:lineRule="auto" w:line="285" w:before="0" w:after="0"/>
              <w:ind w:left="0" w:right="0" w:hanging="0"/>
              <w:jc w:val="left"/>
            </w:pPr>
            <w:r>
              <w:t>​</w:t>
            </w:r>
          </w:p>
        </w:tc>
      </w:tr>
      <w:t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3,581</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2,118</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10,616</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6,974</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21,362</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10,572</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55,536</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30,754</w:t>
            </w:r>
          </w:p>
        </w:tc>
        <w:tc>
          <w:tcPr>
            <w:tcW w:w="391" w:type="dxa"/>
            <w:tcBorders/>
            <w:vAlign w:val="center"/>
          </w:tcPr>
          <w:p>
            <w:pPr>
              <w:pStyle w:val="TableContents"/>
              <w:bidi w:val="0"/>
              <w:spacing w:lineRule="auto" w:line="285" w:before="0" w:after="0"/>
              <w:ind w:left="0" w:right="0" w:hanging="0"/>
              <w:jc w:val="left"/>
            </w:pPr>
            <w:r>
              <w:t>​</w:t>
            </w:r>
          </w:p>
        </w:tc>
      </w:tr>
      <w:t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(21,362)</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(10,572)</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(55,536)</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(30,754)</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 and other expense, net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1,910</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738</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5,741</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1,902</w:t>
            </w:r>
          </w:p>
        </w:tc>
        <w:tc>
          <w:tcPr>
            <w:tcW w:w="391" w:type="dxa"/>
            <w:tcBorders/>
            <w:vAlign w:val="center"/>
          </w:tcPr>
          <w:p>
            <w:pPr>
              <w:pStyle w:val="TableContents"/>
              <w:bidi w:val="0"/>
              <w:spacing w:lineRule="auto" w:line="285" w:before="0" w:after="0"/>
              <w:ind w:left="0" w:right="0" w:hanging="0"/>
              <w:jc w:val="left"/>
            </w:pPr>
            <w:r>
              <w:t>​</w:t>
            </w:r>
          </w:p>
        </w:tc>
      </w:tr>
      <w:t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27,141</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before equity method investment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(19,452)</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(9,834)</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(49,795)</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(1,711)</w:t>
            </w:r>
          </w:p>
        </w:tc>
        <w:tc>
          <w:tcPr>
            <w:tcW w:w="391" w:type="dxa"/>
            <w:tcBorders/>
            <w:vAlign w:val="center"/>
          </w:tcPr>
          <w:p>
            <w:pPr>
              <w:pStyle w:val="TableContents"/>
              <w:bidi w:val="0"/>
              <w:spacing w:lineRule="auto" w:line="285" w:before="0" w:after="0"/>
              <w:ind w:left="0" w:right="0" w:hanging="0"/>
              <w:jc w:val="left"/>
            </w:pPr>
            <w:r>
              <w:t>​</w:t>
            </w:r>
          </w:p>
        </w:tc>
      </w:tr>
      <w:t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equity method investment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(891)</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(2,199)</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(1,251)</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(20,343)</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(10,157)</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(51,994)</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(2,962)</w:t>
            </w:r>
          </w:p>
        </w:tc>
        <w:tc>
          <w:tcPr>
            <w:tcW w:w="391" w:type="dxa"/>
            <w:tcBorders/>
            <w:vAlign w:val="center"/>
          </w:tcPr>
          <w:p>
            <w:pPr>
              <w:pStyle w:val="TableContents"/>
              <w:bidi w:val="0"/>
              <w:spacing w:lineRule="auto" w:line="285" w:before="0" w:after="0"/>
              <w:ind w:left="0" w:right="0" w:hanging="0"/>
              <w:jc w:val="left"/>
            </w:pPr>
            <w:r>
              <w:t>​</w:t>
            </w:r>
          </w:p>
        </w:tc>
      </w:tr>
      <w:t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(0.22)</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per share, diluted</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(0.22)</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91" w:type="dxa"/>
            <w:tcBorders/>
            <w:vAlign w:val="center"/>
          </w:tcPr>
          <w:p>
            <w:pPr>
              <w:pStyle w:val="TableContents"/>
              <w:bidi w:val="0"/>
              <w:spacing w:lineRule="auto" w:line="285" w:before="0" w:after="0"/>
              <w:ind w:left="0" w:right="0" w:hanging="0"/>
              <w:jc w:val="left"/>
            </w:pPr>
            <w:r>
              <w:t>​</w:t>
            </w:r>
          </w:p>
        </w:tc>
      </w:tr>
      <w:t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Shares used to compute net loss per share, basic</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92,487,761</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82,836,369</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91,626,625</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77,618,300</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Shares used to compute net loss per share, diluted</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pPr>
            <w:r>
              <w:t> </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92,487,761</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pPr>
            <w:r>
              <w:t> </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82,836,369</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pPr>
            <w:r>
              <w:t> </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91,626,625</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pPr>
            <w:r>
              <w:t> </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78,655,424</w:t>
            </w:r>
          </w:p>
        </w:tc>
        <w:tc>
          <w:tcPr>
            <w:tcW w:w="391" w:type="dxa"/>
            <w:tcBorders/>
            <w:vAlign w:val="center"/>
          </w:tcPr>
          <w:p>
            <w:pPr>
              <w:pStyle w:val="TableContents"/>
              <w:bidi w:val="0"/>
              <w:spacing w:lineRule="auto" w:line="285" w:before="0" w:after="0"/>
              <w:ind w:left="0" w:right="0" w:hanging="0"/>
              <w:jc w:val="left"/>
            </w:pPr>
            <w:r>
              <w:t>​</w:t>
            </w:r>
          </w:p>
        </w:tc>
      </w:tr>
      <w:t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1036"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1036"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1036"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1036" w:type="dxa"/>
            <w:tcBorders/>
            <w:shd w:fill="CCEEFF" w:val="clear"/>
            <w:vAlign w:val="center"/>
          </w:tcPr>
          <w:p>
            <w:pPr>
              <w:pStyle w:val="TableContents"/>
              <w:bidi w:val="0"/>
              <w:spacing w:lineRule="auto" w:line="285" w:before="0" w:after="0"/>
              <w:ind w:left="0" w:right="0" w:hanging="0"/>
              <w:jc w:val="right"/>
            </w:pPr>
            <w:r>
              <w:t>  ​</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marketable securities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(1,369)</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91" w:type="dxa"/>
            <w:tcBorders/>
            <w:vAlign w:val="center"/>
          </w:tcPr>
          <w:p>
            <w:pPr>
              <w:pStyle w:val="TableContents"/>
              <w:bidi w:val="0"/>
              <w:spacing w:lineRule="auto" w:line="285" w:before="0" w:after="0"/>
              <w:ind w:left="0" w:right="0" w:hanging="0"/>
              <w:jc w:val="left"/>
            </w:pPr>
            <w:r>
              <w:t>​</w:t>
            </w:r>
          </w:p>
        </w:tc>
      </w:tr>
      <w:t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Cumulative foreign currency translation adjustment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674</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(20,641)</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(10,069)</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(52,689)</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(2,734)</w:t>
            </w:r>
          </w:p>
        </w:tc>
        <w:tc>
          <w:tcPr>
            <w:tcW w:w="391" w:type="dxa"/>
            <w:tcBorders/>
            <w:vAlign w:val="center"/>
          </w:tcPr>
          <w:p>
            <w:pPr>
              <w:pStyle w:val="TableContents"/>
              <w:bidi w:val="0"/>
              <w:spacing w:lineRule="auto" w:line="285" w:before="0" w:after="0"/>
              <w:ind w:left="0" w:right="0" w:hanging="0"/>
              <w:jc w:val="left"/>
            </w:pPr>
            <w:r>
              <w:t>​</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lineRule="auto" w:line="285" w:before="0" w:after="0"/>
        <w:ind w:left="0" w:right="0" w:hanging="0"/>
        <w:jc w:val="center"/>
      </w:pPr>
      <w:r>
        <w:t>​</w:t>
      </w:r>
    </w:p>
    <w:p>
      <w:pPr>
        <w:pStyle w:val="TextBody"/>
        <w:bidi w:val="0"/>
        <w:spacing w:lineRule="auto" w:line="285" w:before="0" w:after="0"/>
        <w:ind w:left="0" w:right="0" w:hanging="0"/>
        <w:jc w:val="center"/>
      </w:pPr>
      <w:r>
        <w:t>​</w:t>
      </w:r>
    </w:p>
    <w:p>
      <w:pPr>
        <w:pStyle w:val="TextBody"/>
        <w:bidi w:val="0"/>
        <w:spacing w:lineRule="auto" w:line="285" w:before="0" w:after="0"/>
        <w:ind w:left="0" w:right="0" w:hanging="0"/>
        <w:jc w:val="left"/>
      </w:pPr>
      <w: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225" w:name="_d5987825_621d_4c44_81b9_72aa0e00b57d"/>
      <w:bookmarkEnd w:id="225"/>
      <w:r>
        <w:rPr>
          <w:rFonts w:ascii="Times New Roman;Times;serif" w:hAnsi="Times New Roman;Times;serif"/>
          <w:b/>
          <w:sz w:val="20"/>
        </w:rPr>
        <w:t>CORVUS PHARMACEUTICALS, INC.</w:t>
      </w:r>
    </w:p>
    <w:p>
      <w:pPr>
        <w:pStyle w:val="TextBody"/>
        <w:bidi w:val="0"/>
        <w:spacing w:lineRule="auto" w:line="285" w:before="0" w:after="0"/>
        <w:ind w:left="0" w:right="0" w:hanging="0"/>
        <w:jc w:val="center"/>
        <w:rPr>
          <w:rFonts w:ascii="Times New Roman;Times;serif" w:hAnsi="Times New Roman;Times;serif"/>
          <w:b/>
          <w:sz w:val="20"/>
        </w:rPr>
      </w:pPr>
      <w:bookmarkStart w:id="226" w:name="STOCKHOLDERSEQUITY_96157"/>
      <w:bookmarkEnd w:id="226"/>
      <w:r>
        <w:rPr>
          <w:rFonts w:ascii="Times New Roman;Times;serif" w:hAnsi="Times New Roman;Times;serif"/>
          <w:b/>
          <w:sz w:val="20"/>
        </w:rPr>
        <w:t>CONDENSED CONSOLIDATED STATEMENTS OF CHANGES IN STOCKHOLDERS’ EQUITY</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 thousands, except share data)</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285" w:before="0" w:after="0"/>
        <w:ind w:left="0" w:right="0" w:hanging="0"/>
        <w:jc w:val="left"/>
      </w:pPr>
      <w:r>
        <w:t>​</w:t>
      </w:r>
    </w:p>
    <w:p>
      <w:pPr>
        <w:pStyle w:val="Normal"/>
        <w:bidi w:val="0"/>
        <w:spacing w:before="0" w:after="0"/>
        <w:jc w:val="left"/>
        <w:rPr>
          <w:sz w:val="4"/>
          <w:szCs w:val="4"/>
        </w:rPr>
      </w:pPr>
      <w:r>
        <w:rPr>
          <w:sz w:val="4"/>
          <w:szCs w:val="4"/>
        </w:rPr>
      </w:r>
      <w:bookmarkStart w:id="227" w:name="Tc_AvyZwKjo-kK_Fu8NJTj8hA_25_16"/>
      <w:bookmarkStart w:id="228" w:name="Tc_10CEFRd1FUeqkL4JtQo1hg_25_13"/>
      <w:bookmarkStart w:id="229" w:name="Tc_frv2D3z4YUWZKb-IWNbLFw_25_10"/>
      <w:bookmarkStart w:id="230" w:name="Tc_qewJdq9UmUumO7sIJTXY5Q_25_7"/>
      <w:bookmarkStart w:id="231" w:name="Tc_-eeQcMYH30asIJnjzXqmKQ_25_4"/>
      <w:bookmarkStart w:id="232" w:name="Tc_7BKHpdwCg0ionz03Jyp5hw_25_0"/>
      <w:bookmarkStart w:id="233" w:name="Tc_lFsc2qx_70Wmcs-EFgoTAA_24_11"/>
      <w:bookmarkStart w:id="234" w:name="Tc_oxpSXurt2kWzW2OjZl6x7g_24_8"/>
      <w:bookmarkStart w:id="235" w:name="Tc_GRxHvrNzlEmLcq8t8lLSSg_24_5"/>
      <w:bookmarkStart w:id="236" w:name="Tc_cF-BQQZRuUagzZ1hccGwIg_24_2"/>
      <w:bookmarkStart w:id="237" w:name="Tc_-CHTmf0cBEasPXcpohUb8Q_24_0"/>
      <w:bookmarkStart w:id="238" w:name="Tc_00jBn8jrXkaN8rQ_bYhiNA_23_14"/>
      <w:bookmarkStart w:id="239" w:name="Tc_oL_qaa_BokaLydKt9C-fwA_23_8"/>
      <w:bookmarkStart w:id="240" w:name="Tc_l_6mBVOAFUejgx0yFFrF7A_23_5"/>
      <w:bookmarkStart w:id="241" w:name="Tc_xqGcy36EnEut9ctqWgk5Cg_23_2"/>
      <w:bookmarkStart w:id="242" w:name="Tc_tt2rdfvoMk6gyPOiS2oQ4g_23_0"/>
      <w:bookmarkStart w:id="243" w:name="Tc_ECFfxhwmyESdmC6DDtVIbA_22_14"/>
      <w:bookmarkStart w:id="244" w:name="Tc_q8GLRl_fn0ad-JfwN05nEA_22_8"/>
      <w:bookmarkStart w:id="245" w:name="Tc_LEaqgUU360OfHTiuWEAMyg_22_5"/>
      <w:bookmarkStart w:id="246" w:name="Tc_Tw19aZrK2U-ar6OPZcx-pg_22_2"/>
      <w:bookmarkStart w:id="247" w:name="Tc_XZlgZ7M_dEqi_AE56NIbGQ_22_0"/>
      <w:bookmarkStart w:id="248" w:name="Tc_TY7_GuFbo0qqj6rGQcQFDw_21_14"/>
      <w:bookmarkStart w:id="249" w:name="Tc_sXJjqrrYbEagcWRUQbeEgw_21_11"/>
      <w:bookmarkStart w:id="250" w:name="Tc_MMkwegA0KkS78o9M4EqN2g_21_5"/>
      <w:bookmarkStart w:id="251" w:name="Tc_NKEYNe8H70-iTe81cwJKjg_21_2"/>
      <w:bookmarkStart w:id="252" w:name="Tc_iA3EKaGkk0KiIN7KL835Mw_21_0"/>
      <w:bookmarkStart w:id="253" w:name="Tc_fSA910DGVkeTLJJG3YxXtQ_20_14"/>
      <w:bookmarkStart w:id="254" w:name="Tc_UrBP1npqIU-2GaAeTIqSUQ_20_11"/>
      <w:bookmarkStart w:id="255" w:name="Tc_lffYYg0P6kq9Cegmr7trcA_20_5"/>
      <w:bookmarkStart w:id="256" w:name="Tc_mxhlFz3TnE-lpBjy_LV9kQ_20_0"/>
      <w:bookmarkStart w:id="257" w:name="Tc_cUNIo_Fns0Cxnk3F9anBEQ_19_16"/>
      <w:bookmarkStart w:id="258" w:name="Tc_4CLci1muikySBfOi8UK4ww_19_13"/>
      <w:bookmarkStart w:id="259" w:name="Tc_l97YGG0_DUOJWy2WkEpd2g_19_10"/>
      <w:bookmarkStart w:id="260" w:name="Tc_oy_ZFnVH5ECXnNRNrkUZUg_19_7"/>
      <w:bookmarkStart w:id="261" w:name="Tc_rp5k0yoOk0-a_E6qqjLhTQ_19_4"/>
      <w:bookmarkStart w:id="262" w:name="Tc_93GvldHPjEOpjOxwOpEbcA_19_0"/>
      <w:bookmarkStart w:id="263" w:name="Tc_Gfq2ccSD9EWOk76OaFOikA_18_11"/>
      <w:bookmarkStart w:id="264" w:name="Tc_PXQIZ3ClnUWd-zTmscWowA_18_8"/>
      <w:bookmarkStart w:id="265" w:name="Tc_EL2EXtUYYEyXrj9Wii7_ng_18_5"/>
      <w:bookmarkStart w:id="266" w:name="Tc_obNeXIEG9EGISiIMhtLLXg_18_2"/>
      <w:bookmarkStart w:id="267" w:name="Tc_UUMQ90kejEiXxuBC3iYnmw_18_0"/>
      <w:bookmarkStart w:id="268" w:name="Tc_ytbvlFhgH0Wqw7rX-CtswQ_17_14"/>
      <w:bookmarkStart w:id="269" w:name="Tc_FQttu0RtYUCIIIx64Hvh0g_17_8"/>
      <w:bookmarkStart w:id="270" w:name="Tc__Fdk0tpz8EGUvgRmuowOFQ_17_5"/>
      <w:bookmarkStart w:id="271" w:name="Tc_-cXHBNJvWE-C6uT0CcTFJQ_17_2"/>
      <w:bookmarkStart w:id="272" w:name="Tc_y3wTFR-SeUCFuNhrm6vjBg_17_0"/>
      <w:bookmarkStart w:id="273" w:name="Tc__uGvk-jH10KpC4-XGY18Cg_16_14"/>
      <w:bookmarkStart w:id="274" w:name="Tc_QBBV6LMqm0-jACoN42FX7w_16_8"/>
      <w:bookmarkStart w:id="275" w:name="Tc_t2tK0HLgJEyUIQ0Smcze_A_16_5"/>
      <w:bookmarkStart w:id="276" w:name="Tc_dZ_vi26GvkiU550EMLKbzA_16_2"/>
      <w:bookmarkStart w:id="277" w:name="Tc_HjS29cKaGU-ayMW-TlLBUw_16_0"/>
      <w:bookmarkStart w:id="278" w:name="Tc_n3cZjHWsaUKL__yj5tOU-Q_15_14"/>
      <w:bookmarkStart w:id="279" w:name="Tc_8GTrSsXEkUeuQkeKMXM9sQ_15_11"/>
      <w:bookmarkStart w:id="280" w:name="Tc_z-82w9F3PECv_As4CnCmVA_15_5"/>
      <w:bookmarkStart w:id="281" w:name="Tc_zILqpIQCUkiqfaFSmycXkw_15_2"/>
      <w:bookmarkStart w:id="282" w:name="Tc_I9X3fP8ElUCwWTwZtecj-w_15_0"/>
      <w:bookmarkStart w:id="283" w:name="Tc_GHGshg9An0Go2MR4L6-aOg_14_14"/>
      <w:bookmarkStart w:id="284" w:name="Tc_DIYoPO2AGkWsCcC1NOX1GQ_14_11"/>
      <w:bookmarkStart w:id="285" w:name="Tc_1KSy1bQBTU6s3juBsJ9EFQ_14_5"/>
      <w:bookmarkStart w:id="286" w:name="Tc_aWAmBzKJIE6kt66QP3_-yw_14_0"/>
      <w:bookmarkStart w:id="287" w:name="Tc_IRomY9cxNUO5T7QhvNay1Q_13_16"/>
      <w:bookmarkStart w:id="288" w:name="Tc_KH7bhyj3mUiKQwRc_FrKIQ_13_13"/>
      <w:bookmarkStart w:id="289" w:name="Tc_Kwxr1rRWqEaLhbSAGw-FEA_13_10"/>
      <w:bookmarkStart w:id="290" w:name="Tc_aUDfq6usW06YX_Zfv6vDDQ_13_7"/>
      <w:bookmarkStart w:id="291" w:name="Tc__32QYRsHXE2eCtwH86tFTA_13_4"/>
      <w:bookmarkStart w:id="292" w:name="Tc_zEFUrCdaSUKA9P8GDXCbzg_13_0"/>
      <w:bookmarkStart w:id="293" w:name="Tc_MdtASW2tekyNNjX5ids7AA_12_11"/>
      <w:bookmarkStart w:id="294" w:name="Tc_QD7ElvDQ6Uy4yS6o1R-2pg_12_8"/>
      <w:bookmarkStart w:id="295" w:name="Tc_mx5x7ZrK50mth_sUhF6osA_12_5"/>
      <w:bookmarkStart w:id="296" w:name="Tc_e_hq2Y-dsEyh3-x_ZAodOg_12_2"/>
      <w:bookmarkStart w:id="297" w:name="Tc_Bztot_xaoUu2vu3X7kMqVQ_12_0"/>
      <w:bookmarkStart w:id="298" w:name="Tc_OWfgKZvUr0u4UDWHvpTbZQ_11_14"/>
      <w:bookmarkStart w:id="299" w:name="Tc_eV4yNhvHMkqti60Sxqmv3g_11_8"/>
      <w:bookmarkStart w:id="300" w:name="Tc_8p04Jl_Lf0O9DliyEm4XMg_11_5"/>
      <w:bookmarkStart w:id="301" w:name="Tc_RnmmVpBePE-UfG6Q-3ijsA_11_2"/>
      <w:bookmarkStart w:id="302" w:name="Tc_a-j2HOfH006OLrqPOdFJVg_11_0"/>
      <w:bookmarkStart w:id="303" w:name="Tc_hmU9rlYDzUyiI5a2p7QqHA_10_14"/>
      <w:bookmarkStart w:id="304" w:name="Tc_8ZhwQXt9mEKL33DopWYfSg_10_8"/>
      <w:bookmarkStart w:id="305" w:name="Tc_rB0bP08bckWWcR5FXxHUcw_10_5"/>
      <w:bookmarkStart w:id="306" w:name="Tc_xKVr-n-P5UC0LozAHMdtkg_10_2"/>
      <w:bookmarkStart w:id="307" w:name="Tc__tOFndNpnkGzeedljJOPNA_10_0"/>
      <w:bookmarkStart w:id="308" w:name="Tc_XEhFXijIAk-VZeg0rLiMVw_9_14"/>
      <w:bookmarkStart w:id="309" w:name="Tc_5VE85HF_OEKHTT2CXQC1TQ_9_11"/>
      <w:bookmarkStart w:id="310" w:name="Tc_dMq0-d9__EmkydKzhxTirg_9_5"/>
      <w:bookmarkStart w:id="311" w:name="Tc_u-rM2drHBE6sHoYtHzhBoQ_9_2"/>
      <w:bookmarkStart w:id="312" w:name="Tc_IIhJ1Pfe9kOaFuIV2Xgq1g_9_0"/>
      <w:bookmarkStart w:id="313" w:name="Tc_CzyOZdZzDE-f-rhJhujP7Q_8_14"/>
      <w:bookmarkStart w:id="314" w:name="Tc_MVFxM6iBeEemhFGp5zm6EQ_8_11"/>
      <w:bookmarkStart w:id="315" w:name="Tc_6lJk9PfJlEylEM3a-9llbA_8_0"/>
      <w:bookmarkStart w:id="316" w:name="Tc_OBt8xlShP0Ws1uGqGcnutQ_7_14"/>
      <w:bookmarkStart w:id="317" w:name="Tc_ngDU1CfGjUqAhMHcElsUJQ_7_11"/>
      <w:bookmarkStart w:id="318" w:name="Tc_uCvflsQ3q0-HnBy9j0j0EQ_7_5"/>
      <w:bookmarkStart w:id="319" w:name="Tc_KzFOrzP-jUu0UukIEBZVtg_7_0"/>
      <w:bookmarkStart w:id="320" w:name="Tc_pZxGAHQEakaKmSVOojEP_Q_6_16"/>
      <w:bookmarkStart w:id="321" w:name="Tc_G2U_XGWytUexRs-8HYSaVQ_6_13"/>
      <w:bookmarkStart w:id="322" w:name="Tc_xeqMYi2OAkW9axa2Wsh2fw_6_10"/>
      <w:bookmarkStart w:id="323" w:name="Tc_BDhKFsgNGEOlje5iAI0vfA_6_7"/>
      <w:bookmarkStart w:id="324" w:name="Tc_5kLJ0IDiR0KEafqO4jxcXw_6_4"/>
      <w:bookmarkStart w:id="325" w:name="Tc_UX56YPgyLU21wNOJc-bb4A_6_0"/>
      <w:bookmarkStart w:id="326" w:name="Tc_Twmg45Jp7UmcV02VD5PMrw_5_16"/>
      <w:bookmarkStart w:id="327" w:name="Tc_o3rCykG5ZEuXEeIsWctpYg_5_13"/>
      <w:bookmarkStart w:id="328" w:name="Tc_qX3EhDmUP0Kksi8j1iA4wA_5_10"/>
      <w:bookmarkStart w:id="329" w:name="Tc_v5eRCBHinEK0lbs2XedKbg_5_7"/>
      <w:bookmarkStart w:id="330" w:name="Tc_tEwuj6e4JEyumshJ_x--Rw_5_4"/>
      <w:bookmarkStart w:id="331" w:name="Tc_M1FosSSUck-UyaLpLjxmlQ_5_2"/>
      <w:bookmarkStart w:id="332" w:name="Tc_Nk8_89wA8kec5xPI7ZD6hw_4_16"/>
      <w:bookmarkStart w:id="333" w:name="Tc_vFBDMVU1iUOgVRJEWyAHVQ_4_13"/>
      <w:bookmarkStart w:id="334" w:name="Tc_jKwEqltwWkK2TpWawcJmFw_4_10"/>
      <w:bookmarkStart w:id="335" w:name="Tc_Kxb3vX2p9UOoHCJS2o9-uQ_4_7"/>
      <w:bookmarkStart w:id="336" w:name="Tc_1GrDpRo6QkSO54CYhBy82g_4_2"/>
      <w:bookmarkStart w:id="337" w:name="Tc_dHKd-09yOU2eyK8D5_yChw_3_16"/>
      <w:bookmarkStart w:id="338" w:name="Tc_9DdZiPqpZ0mzkFihOD1bHQ_3_10"/>
      <w:bookmarkStart w:id="339" w:name="Tc_TzuX9nCElUeTOJUavSLsmQ_3_7"/>
      <w:bookmarkStart w:id="340" w:name="Tc_pl7L51cud0qJY_sgeREfpQ_2_10"/>
      <w:bookmarkStart w:id="341" w:name="Tc_blBlas0lBEquPwE6WT0flg_1_2"/>
      <w:bookmarkStart w:id="342" w:name="_9231e40d_8a65_44b5_9df7_0f6529b4f75c"/>
      <w:bookmarkStart w:id="343" w:name="Tc_AvyZwKjo-kK_Fu8NJTj8hA_25_16"/>
      <w:bookmarkStart w:id="344" w:name="Tc_10CEFRd1FUeqkL4JtQo1hg_25_13"/>
      <w:bookmarkStart w:id="345" w:name="Tc_frv2D3z4YUWZKb-IWNbLFw_25_10"/>
      <w:bookmarkStart w:id="346" w:name="Tc_qewJdq9UmUumO7sIJTXY5Q_25_7"/>
      <w:bookmarkStart w:id="347" w:name="Tc_-eeQcMYH30asIJnjzXqmKQ_25_4"/>
      <w:bookmarkStart w:id="348" w:name="Tc_7BKHpdwCg0ionz03Jyp5hw_25_0"/>
      <w:bookmarkStart w:id="349" w:name="Tc_lFsc2qx_70Wmcs-EFgoTAA_24_11"/>
      <w:bookmarkStart w:id="350" w:name="Tc_oxpSXurt2kWzW2OjZl6x7g_24_8"/>
      <w:bookmarkStart w:id="351" w:name="Tc_GRxHvrNzlEmLcq8t8lLSSg_24_5"/>
      <w:bookmarkStart w:id="352" w:name="Tc_cF-BQQZRuUagzZ1hccGwIg_24_2"/>
      <w:bookmarkStart w:id="353" w:name="Tc_-CHTmf0cBEasPXcpohUb8Q_24_0"/>
      <w:bookmarkStart w:id="354" w:name="Tc_00jBn8jrXkaN8rQ_bYhiNA_23_14"/>
      <w:bookmarkStart w:id="355" w:name="Tc_oL_qaa_BokaLydKt9C-fwA_23_8"/>
      <w:bookmarkStart w:id="356" w:name="Tc_l_6mBVOAFUejgx0yFFrF7A_23_5"/>
      <w:bookmarkStart w:id="357" w:name="Tc_xqGcy36EnEut9ctqWgk5Cg_23_2"/>
      <w:bookmarkStart w:id="358" w:name="Tc_tt2rdfvoMk6gyPOiS2oQ4g_23_0"/>
      <w:bookmarkStart w:id="359" w:name="Tc_ECFfxhwmyESdmC6DDtVIbA_22_14"/>
      <w:bookmarkStart w:id="360" w:name="Tc_q8GLRl_fn0ad-JfwN05nEA_22_8"/>
      <w:bookmarkStart w:id="361" w:name="Tc_LEaqgUU360OfHTiuWEAMyg_22_5"/>
      <w:bookmarkStart w:id="362" w:name="Tc_Tw19aZrK2U-ar6OPZcx-pg_22_2"/>
      <w:bookmarkStart w:id="363" w:name="Tc_XZlgZ7M_dEqi_AE56NIbGQ_22_0"/>
      <w:bookmarkStart w:id="364" w:name="Tc_TY7_GuFbo0qqj6rGQcQFDw_21_14"/>
      <w:bookmarkStart w:id="365" w:name="Tc_sXJjqrrYbEagcWRUQbeEgw_21_11"/>
      <w:bookmarkStart w:id="366" w:name="Tc_MMkwegA0KkS78o9M4EqN2g_21_5"/>
      <w:bookmarkStart w:id="367" w:name="Tc_NKEYNe8H70-iTe81cwJKjg_21_2"/>
      <w:bookmarkStart w:id="368" w:name="Tc_iA3EKaGkk0KiIN7KL835Mw_21_0"/>
      <w:bookmarkStart w:id="369" w:name="Tc_fSA910DGVkeTLJJG3YxXtQ_20_14"/>
      <w:bookmarkStart w:id="370" w:name="Tc_UrBP1npqIU-2GaAeTIqSUQ_20_11"/>
      <w:bookmarkStart w:id="371" w:name="Tc_lffYYg0P6kq9Cegmr7trcA_20_5"/>
      <w:bookmarkStart w:id="372" w:name="Tc_mxhlFz3TnE-lpBjy_LV9kQ_20_0"/>
      <w:bookmarkStart w:id="373" w:name="Tc_cUNIo_Fns0Cxnk3F9anBEQ_19_16"/>
      <w:bookmarkStart w:id="374" w:name="Tc_4CLci1muikySBfOi8UK4ww_19_13"/>
      <w:bookmarkStart w:id="375" w:name="Tc_l97YGG0_DUOJWy2WkEpd2g_19_10"/>
      <w:bookmarkStart w:id="376" w:name="Tc_oy_ZFnVH5ECXnNRNrkUZUg_19_7"/>
      <w:bookmarkStart w:id="377" w:name="Tc_rp5k0yoOk0-a_E6qqjLhTQ_19_4"/>
      <w:bookmarkStart w:id="378" w:name="Tc_93GvldHPjEOpjOxwOpEbcA_19_0"/>
      <w:bookmarkStart w:id="379" w:name="Tc_Gfq2ccSD9EWOk76OaFOikA_18_11"/>
      <w:bookmarkStart w:id="380" w:name="Tc_PXQIZ3ClnUWd-zTmscWowA_18_8"/>
      <w:bookmarkStart w:id="381" w:name="Tc_EL2EXtUYYEyXrj9Wii7_ng_18_5"/>
      <w:bookmarkStart w:id="382" w:name="Tc_obNeXIEG9EGISiIMhtLLXg_18_2"/>
      <w:bookmarkStart w:id="383" w:name="Tc_UUMQ90kejEiXxuBC3iYnmw_18_0"/>
      <w:bookmarkStart w:id="384" w:name="Tc_ytbvlFhgH0Wqw7rX-CtswQ_17_14"/>
      <w:bookmarkStart w:id="385" w:name="Tc_FQttu0RtYUCIIIx64Hvh0g_17_8"/>
      <w:bookmarkStart w:id="386" w:name="Tc__Fdk0tpz8EGUvgRmuowOFQ_17_5"/>
      <w:bookmarkStart w:id="387" w:name="Tc_-cXHBNJvWE-C6uT0CcTFJQ_17_2"/>
      <w:bookmarkStart w:id="388" w:name="Tc_y3wTFR-SeUCFuNhrm6vjBg_17_0"/>
      <w:bookmarkStart w:id="389" w:name="Tc__uGvk-jH10KpC4-XGY18Cg_16_14"/>
      <w:bookmarkStart w:id="390" w:name="Tc_QBBV6LMqm0-jACoN42FX7w_16_8"/>
      <w:bookmarkStart w:id="391" w:name="Tc_t2tK0HLgJEyUIQ0Smcze_A_16_5"/>
      <w:bookmarkStart w:id="392" w:name="Tc_dZ_vi26GvkiU550EMLKbzA_16_2"/>
      <w:bookmarkStart w:id="393" w:name="Tc_HjS29cKaGU-ayMW-TlLBUw_16_0"/>
      <w:bookmarkStart w:id="394" w:name="Tc_n3cZjHWsaUKL__yj5tOU-Q_15_14"/>
      <w:bookmarkStart w:id="395" w:name="Tc_8GTrSsXEkUeuQkeKMXM9sQ_15_11"/>
      <w:bookmarkStart w:id="396" w:name="Tc_z-82w9F3PECv_As4CnCmVA_15_5"/>
      <w:bookmarkStart w:id="397" w:name="Tc_zILqpIQCUkiqfaFSmycXkw_15_2"/>
      <w:bookmarkStart w:id="398" w:name="Tc_I9X3fP8ElUCwWTwZtecj-w_15_0"/>
      <w:bookmarkStart w:id="399" w:name="Tc_GHGshg9An0Go2MR4L6-aOg_14_14"/>
      <w:bookmarkStart w:id="400" w:name="Tc_DIYoPO2AGkWsCcC1NOX1GQ_14_11"/>
      <w:bookmarkStart w:id="401" w:name="Tc_1KSy1bQBTU6s3juBsJ9EFQ_14_5"/>
      <w:bookmarkStart w:id="402" w:name="Tc_aWAmBzKJIE6kt66QP3_-yw_14_0"/>
      <w:bookmarkStart w:id="403" w:name="Tc_IRomY9cxNUO5T7QhvNay1Q_13_16"/>
      <w:bookmarkStart w:id="404" w:name="Tc_KH7bhyj3mUiKQwRc_FrKIQ_13_13"/>
      <w:bookmarkStart w:id="405" w:name="Tc_Kwxr1rRWqEaLhbSAGw-FEA_13_10"/>
      <w:bookmarkStart w:id="406" w:name="Tc_aUDfq6usW06YX_Zfv6vDDQ_13_7"/>
      <w:bookmarkStart w:id="407" w:name="Tc__32QYRsHXE2eCtwH86tFTA_13_4"/>
      <w:bookmarkStart w:id="408" w:name="Tc_zEFUrCdaSUKA9P8GDXCbzg_13_0"/>
      <w:bookmarkStart w:id="409" w:name="Tc_MdtASW2tekyNNjX5ids7AA_12_11"/>
      <w:bookmarkStart w:id="410" w:name="Tc_QD7ElvDQ6Uy4yS6o1R-2pg_12_8"/>
      <w:bookmarkStart w:id="411" w:name="Tc_mx5x7ZrK50mth_sUhF6osA_12_5"/>
      <w:bookmarkStart w:id="412" w:name="Tc_e_hq2Y-dsEyh3-x_ZAodOg_12_2"/>
      <w:bookmarkStart w:id="413" w:name="Tc_Bztot_xaoUu2vu3X7kMqVQ_12_0"/>
      <w:bookmarkStart w:id="414" w:name="Tc_OWfgKZvUr0u4UDWHvpTbZQ_11_14"/>
      <w:bookmarkStart w:id="415" w:name="Tc_eV4yNhvHMkqti60Sxqmv3g_11_8"/>
      <w:bookmarkStart w:id="416" w:name="Tc_8p04Jl_Lf0O9DliyEm4XMg_11_5"/>
      <w:bookmarkStart w:id="417" w:name="Tc_RnmmVpBePE-UfG6Q-3ijsA_11_2"/>
      <w:bookmarkStart w:id="418" w:name="Tc_a-j2HOfH006OLrqPOdFJVg_11_0"/>
      <w:bookmarkStart w:id="419" w:name="Tc_hmU9rlYDzUyiI5a2p7QqHA_10_14"/>
      <w:bookmarkStart w:id="420" w:name="Tc_8ZhwQXt9mEKL33DopWYfSg_10_8"/>
      <w:bookmarkStart w:id="421" w:name="Tc_rB0bP08bckWWcR5FXxHUcw_10_5"/>
      <w:bookmarkStart w:id="422" w:name="Tc_xKVr-n-P5UC0LozAHMdtkg_10_2"/>
      <w:bookmarkStart w:id="423" w:name="Tc__tOFndNpnkGzeedljJOPNA_10_0"/>
      <w:bookmarkStart w:id="424" w:name="Tc_XEhFXijIAk-VZeg0rLiMVw_9_14"/>
      <w:bookmarkStart w:id="425" w:name="Tc_5VE85HF_OEKHTT2CXQC1TQ_9_11"/>
      <w:bookmarkStart w:id="426" w:name="Tc_dMq0-d9__EmkydKzhxTirg_9_5"/>
      <w:bookmarkStart w:id="427" w:name="Tc_u-rM2drHBE6sHoYtHzhBoQ_9_2"/>
      <w:bookmarkStart w:id="428" w:name="Tc_IIhJ1Pfe9kOaFuIV2Xgq1g_9_0"/>
      <w:bookmarkStart w:id="429" w:name="Tc_CzyOZdZzDE-f-rhJhujP7Q_8_14"/>
      <w:bookmarkStart w:id="430" w:name="Tc_MVFxM6iBeEemhFGp5zm6EQ_8_11"/>
      <w:bookmarkStart w:id="431" w:name="Tc_6lJk9PfJlEylEM3a-9llbA_8_0"/>
      <w:bookmarkStart w:id="432" w:name="Tc_OBt8xlShP0Ws1uGqGcnutQ_7_14"/>
      <w:bookmarkStart w:id="433" w:name="Tc_ngDU1CfGjUqAhMHcElsUJQ_7_11"/>
      <w:bookmarkStart w:id="434" w:name="Tc_uCvflsQ3q0-HnBy9j0j0EQ_7_5"/>
      <w:bookmarkStart w:id="435" w:name="Tc_KzFOrzP-jUu0UukIEBZVtg_7_0"/>
      <w:bookmarkStart w:id="436" w:name="Tc_pZxGAHQEakaKmSVOojEP_Q_6_16"/>
      <w:bookmarkStart w:id="437" w:name="Tc_G2U_XGWytUexRs-8HYSaVQ_6_13"/>
      <w:bookmarkStart w:id="438" w:name="Tc_xeqMYi2OAkW9axa2Wsh2fw_6_10"/>
      <w:bookmarkStart w:id="439" w:name="Tc_BDhKFsgNGEOlje5iAI0vfA_6_7"/>
      <w:bookmarkStart w:id="440" w:name="Tc_5kLJ0IDiR0KEafqO4jxcXw_6_4"/>
      <w:bookmarkStart w:id="441" w:name="Tc_UX56YPgyLU21wNOJc-bb4A_6_0"/>
      <w:bookmarkStart w:id="442" w:name="Tc_Twmg45Jp7UmcV02VD5PMrw_5_16"/>
      <w:bookmarkStart w:id="443" w:name="Tc_o3rCykG5ZEuXEeIsWctpYg_5_13"/>
      <w:bookmarkStart w:id="444" w:name="Tc_qX3EhDmUP0Kksi8j1iA4wA_5_10"/>
      <w:bookmarkStart w:id="445" w:name="Tc_v5eRCBHinEK0lbs2XedKbg_5_7"/>
      <w:bookmarkStart w:id="446" w:name="Tc_tEwuj6e4JEyumshJ_x--Rw_5_4"/>
      <w:bookmarkStart w:id="447" w:name="Tc_M1FosSSUck-UyaLpLjxmlQ_5_2"/>
      <w:bookmarkStart w:id="448" w:name="Tc_Nk8_89wA8kec5xPI7ZD6hw_4_16"/>
      <w:bookmarkStart w:id="449" w:name="Tc_vFBDMVU1iUOgVRJEWyAHVQ_4_13"/>
      <w:bookmarkStart w:id="450" w:name="Tc_jKwEqltwWkK2TpWawcJmFw_4_10"/>
      <w:bookmarkStart w:id="451" w:name="Tc_Kxb3vX2p9UOoHCJS2o9-uQ_4_7"/>
      <w:bookmarkStart w:id="452" w:name="Tc_1GrDpRo6QkSO54CYhBy82g_4_2"/>
      <w:bookmarkStart w:id="453" w:name="Tc_dHKd-09yOU2eyK8D5_yChw_3_16"/>
      <w:bookmarkStart w:id="454" w:name="Tc_9DdZiPqpZ0mzkFihOD1bHQ_3_10"/>
      <w:bookmarkStart w:id="455" w:name="Tc_TzuX9nCElUeTOJUavSLsmQ_3_7"/>
      <w:bookmarkStart w:id="456" w:name="Tc_pl7L51cud0qJY_sgeREfpQ_2_10"/>
      <w:bookmarkStart w:id="457" w:name="Tc_blBlas0lBEquPwE6WT0flg_1_2"/>
      <w:bookmarkStart w:id="458" w:name="_9231e40d_8a65_44b5_9df7_0f6529b4f75c"/>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tbl>
      <w:tblPr>
        <w:tblW w:w="10205" w:type="dxa"/>
        <w:jc w:val="left"/>
        <w:tblInd w:w="0" w:type="dxa"/>
        <w:tblLayout w:type="fixed"/>
        <w:tblCellMar>
          <w:top w:w="0" w:type="dxa"/>
          <w:left w:w="0" w:type="dxa"/>
          <w:bottom w:w="0" w:type="dxa"/>
          <w:right w:w="0" w:type="dxa"/>
        </w:tblCellMar>
      </w:tblPr>
      <w:tblGrid>
        <w:gridCol w:w="2770"/>
        <w:gridCol w:w="346"/>
        <w:gridCol w:w="916"/>
        <w:gridCol w:w="346"/>
        <w:gridCol w:w="206"/>
        <w:gridCol w:w="365"/>
        <w:gridCol w:w="346"/>
        <w:gridCol w:w="196"/>
        <w:gridCol w:w="691"/>
        <w:gridCol w:w="346"/>
        <w:gridCol w:w="260"/>
        <w:gridCol w:w="761"/>
        <w:gridCol w:w="346"/>
        <w:gridCol w:w="196"/>
        <w:gridCol w:w="775"/>
        <w:gridCol w:w="346"/>
        <w:gridCol w:w="196"/>
        <w:gridCol w:w="797"/>
      </w:tblGrid>
      <w:tr>
        <w:tc>
          <w:tcPr>
            <w:tcW w:w="2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758950" cy="175260"/>
                      <wp:effectExtent l="0" t="0" r="0" b="0"/>
                      <wp:wrapNone/>
                      <wp:docPr id="29" name="Frame29"/>
                      <a:graphic xmlns:a="http://schemas.openxmlformats.org/drawingml/2006/main">
                        <a:graphicData uri="http://schemas.microsoft.com/office/word/2010/wordprocessingShape">
                          <wps:wsp>
                            <wps:cNvSpPr txBox="1"/>
                            <wps:spPr>
                              <a:xfrm>
                                <a:off x="0" y="0"/>
                                <a:ext cx="175895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81660" cy="175260"/>
                      <wp:effectExtent l="0" t="0" r="0" b="0"/>
                      <wp:wrapNone/>
                      <wp:docPr id="31" name="Frame3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0810" cy="175260"/>
                      <wp:effectExtent l="0" t="0" r="0" b="0"/>
                      <wp:wrapNone/>
                      <wp:docPr id="33" name="Frame3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31775" cy="175260"/>
                      <wp:effectExtent l="0" t="0" r="0" b="0"/>
                      <wp:wrapNone/>
                      <wp:docPr id="34" name="Frame34"/>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4460" cy="175260"/>
                      <wp:effectExtent l="0" t="0" r="0" b="0"/>
                      <wp:wrapNone/>
                      <wp:docPr id="36" name="Frame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38785" cy="175260"/>
                      <wp:effectExtent l="0" t="0" r="0" b="0"/>
                      <wp:wrapNone/>
                      <wp:docPr id="37" name="Frame3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65100" cy="175260"/>
                      <wp:effectExtent l="0" t="0" r="0" b="0"/>
                      <wp:wrapNone/>
                      <wp:docPr id="39" name="Frame39"/>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83235" cy="175260"/>
                      <wp:effectExtent l="0" t="0" r="0" b="0"/>
                      <wp:wrapNone/>
                      <wp:docPr id="40" name="Frame40"/>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2" name="Frame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92125" cy="175260"/>
                      <wp:effectExtent l="0" t="0" r="0" b="0"/>
                      <wp:wrapNone/>
                      <wp:docPr id="43" name="Frame43"/>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45" name="Frame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06095" cy="175260"/>
                      <wp:effectExtent l="0" t="0" r="0" b="0"/>
                      <wp:wrapNone/>
                      <wp:docPr id="46" name="Frame46"/>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2770"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7089" w:type="dxa"/>
            <w:gridSpan w:val="16"/>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Nine Months Ended September 30, 2026</w:t>
            </w:r>
          </w:p>
        </w:tc>
      </w:tr>
      <w:tr>
        <w:tc>
          <w:tcPr>
            <w:tcW w:w="2770"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206" w:type="dxa"/>
            <w:tcBorders/>
            <w:vAlign w:val="center"/>
          </w:tcPr>
          <w:p>
            <w:pPr>
              <w:pStyle w:val="TableContents"/>
              <w:bidi w:val="0"/>
              <w:spacing w:lineRule="auto" w:line="285" w:before="0" w:after="0"/>
              <w:ind w:left="0" w:right="0" w:hanging="0"/>
              <w:jc w:val="center"/>
            </w:pPr>
            <w:r>
              <w:t>​</w:t>
            </w:r>
          </w:p>
        </w:tc>
        <w:tc>
          <w:tcPr>
            <w:tcW w:w="365"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19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lineRule="auto" w:line="285" w:before="0" w:after="0"/>
              <w:ind w:left="0" w:right="0" w:hanging="0"/>
              <w:jc w:val="left"/>
            </w:pPr>
            <w:r>
              <w:t>  ​ ​ ​</w:t>
            </w:r>
          </w:p>
        </w:tc>
        <w:tc>
          <w:tcPr>
            <w:tcW w:w="196" w:type="dxa"/>
            <w:tcBorders/>
            <w:vAlign w:val="center"/>
          </w:tcPr>
          <w:p>
            <w:pPr>
              <w:pStyle w:val="TableContents"/>
              <w:bidi w:val="0"/>
              <w:spacing w:lineRule="auto" w:line="285" w:before="0" w:after="0"/>
              <w:ind w:left="0" w:right="0" w:hanging="0"/>
              <w:jc w:val="center"/>
            </w:pPr>
            <w:r>
              <w:t>​</w:t>
            </w:r>
          </w:p>
        </w:tc>
        <w:tc>
          <w:tcPr>
            <w:tcW w:w="775"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196" w:type="dxa"/>
            <w:tcBorders/>
            <w:vAlign w:val="center"/>
          </w:tcPr>
          <w:p>
            <w:pPr>
              <w:pStyle w:val="TableContents"/>
              <w:bidi w:val="0"/>
              <w:spacing w:lineRule="auto" w:line="285" w:before="0" w:after="0"/>
              <w:ind w:left="0" w:right="0" w:hanging="0"/>
              <w:jc w:val="center"/>
            </w:pPr>
            <w:r>
              <w:t>​</w:t>
            </w:r>
          </w:p>
        </w:tc>
        <w:tc>
          <w:tcPr>
            <w:tcW w:w="797" w:type="dxa"/>
            <w:tcBorders/>
            <w:vAlign w:val="center"/>
          </w:tcPr>
          <w:p>
            <w:pPr>
              <w:pStyle w:val="TableContents"/>
              <w:bidi w:val="0"/>
              <w:spacing w:lineRule="auto" w:line="285" w:before="0" w:after="0"/>
              <w:ind w:left="0" w:right="0" w:hanging="0"/>
              <w:jc w:val="center"/>
            </w:pPr>
            <w:r>
              <w:t>​</w:t>
            </w:r>
          </w:p>
        </w:tc>
      </w:tr>
      <w:tr>
        <w:tc>
          <w:tcPr>
            <w:tcW w:w="2770"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vAlign w:val="center"/>
          </w:tcPr>
          <w:p>
            <w:pPr>
              <w:pStyle w:val="TableContents"/>
              <w:bidi w:val="0"/>
              <w:spacing w:lineRule="auto" w:line="285" w:before="0" w:after="0"/>
              <w:ind w:left="0" w:right="0" w:hanging="0"/>
              <w:jc w:val="center"/>
            </w:pPr>
            <w:r>
              <w:t>​</w:t>
            </w:r>
          </w:p>
        </w:tc>
        <w:tc>
          <w:tcPr>
            <w:tcW w:w="365"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lineRule="auto" w:line="285" w:before="0" w:after="0"/>
              <w:ind w:left="0" w:right="0" w:hanging="0"/>
              <w:jc w:val="left"/>
            </w:pPr>
            <w:r>
              <w:t>​</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center"/>
            </w:pPr>
            <w:r>
              <w:t>​</w:t>
            </w:r>
          </w:p>
        </w:tc>
        <w:tc>
          <w:tcPr>
            <w:tcW w:w="775"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993"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c>
          <w:tcPr>
            <w:tcW w:w="2770"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1833"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lineRule="auto" w:line="285" w:before="0" w:after="0"/>
              <w:ind w:left="0" w:right="0" w:hanging="0"/>
              <w:jc w:val="left"/>
            </w:pPr>
            <w: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lineRule="auto" w:line="285" w:before="0" w:after="0"/>
              <w:ind w:left="0" w:right="0" w:hanging="0"/>
              <w:jc w:val="left"/>
            </w:pPr>
            <w:r>
              <w:t>​</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lineRule="auto" w:line="285" w:before="0" w:after="0"/>
              <w:ind w:left="0" w:right="0" w:hanging="0"/>
              <w:jc w:val="left"/>
            </w:pPr>
            <w:r>
              <w:t>​</w:t>
            </w:r>
          </w:p>
        </w:tc>
        <w:tc>
          <w:tcPr>
            <w:tcW w:w="97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lineRule="auto" w:line="285" w:before="0" w:after="0"/>
              <w:ind w:left="0" w:right="0" w:hanging="0"/>
              <w:jc w:val="left"/>
            </w:pPr>
            <w:r>
              <w:t>​</w:t>
            </w:r>
          </w:p>
        </w:tc>
        <w:tc>
          <w:tcPr>
            <w:tcW w:w="993"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c>
          <w:tcPr>
            <w:tcW w:w="2770"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lineRule="auto" w:line="285" w:before="0" w:after="0"/>
              <w:ind w:left="0" w:right="0" w:hanging="0"/>
              <w:jc w:val="left"/>
            </w:pPr>
            <w:r>
              <w:t>  ​ ​ ​</w:t>
            </w:r>
          </w:p>
        </w:tc>
        <w:tc>
          <w:tcPr>
            <w:tcW w:w="5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lineRule="auto" w:line="285" w:before="0" w:after="0"/>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lineRule="auto" w:line="285" w:before="0" w:after="0"/>
              <w:ind w:left="0" w:right="0" w:hanging="0"/>
              <w:jc w:val="left"/>
            </w:pPr>
            <w:r>
              <w:t>  ​ ​ ​</w:t>
            </w:r>
          </w:p>
        </w:tc>
        <w:tc>
          <w:tcPr>
            <w:tcW w:w="102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346" w:type="dxa"/>
            <w:tcBorders/>
            <w:vAlign w:val="center"/>
          </w:tcPr>
          <w:p>
            <w:pPr>
              <w:pStyle w:val="TableContents"/>
              <w:bidi w:val="0"/>
              <w:spacing w:lineRule="auto" w:line="285" w:before="0" w:after="0"/>
              <w:ind w:left="0" w:right="0" w:hanging="0"/>
              <w:jc w:val="left"/>
            </w:pPr>
            <w:r>
              <w:t>  ​ ​ ​</w:t>
            </w:r>
          </w:p>
        </w:tc>
        <w:tc>
          <w:tcPr>
            <w:tcW w:w="9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lineRule="auto" w:line="285" w:before="0" w:after="0"/>
              <w:ind w:left="0" w:right="0" w:hanging="0"/>
              <w:jc w:val="left"/>
            </w:pPr>
            <w:r>
              <w:t>  ​ ​ ​</w:t>
            </w:r>
          </w:p>
        </w:tc>
        <w:tc>
          <w:tcPr>
            <w:tcW w:w="99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c>
          <w:tcPr>
            <w:tcW w:w="27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2025</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74,696,629</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474,387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(896)</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(412,293)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61,205</w:t>
            </w:r>
          </w:p>
        </w:tc>
      </w:tr>
      <w:tr>
        <w:tc>
          <w:tcPr>
            <w:tcW w:w="2770"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Common stock issued upon exercise of stock options</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308,017</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vAlign w:val="center"/>
          </w:tcPr>
          <w:p>
            <w:pPr>
              <w:pStyle w:val="TableContents"/>
              <w:bidi w:val="0"/>
              <w:spacing w:lineRule="auto" w:line="285" w:before="0" w:after="0"/>
              <w:ind w:left="0" w:right="0" w:hanging="0"/>
              <w:jc w:val="left"/>
            </w:pPr>
            <w:r>
              <w:t>​</w:t>
            </w:r>
          </w:p>
        </w:tc>
        <w:tc>
          <w:tcPr>
            <w:tcW w:w="365"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1,339</w:t>
            </w:r>
          </w:p>
        </w:tc>
        <w:tc>
          <w:tcPr>
            <w:tcW w:w="346" w:type="dxa"/>
            <w:tcBorders/>
            <w:vAlign w:val="center"/>
          </w:tcPr>
          <w:p>
            <w:pPr>
              <w:pStyle w:val="TableContents"/>
              <w:bidi w:val="0"/>
              <w:spacing w:lineRule="auto" w:line="285" w:before="0" w:after="0"/>
              <w:ind w:left="0" w:right="0" w:hanging="0"/>
              <w:jc w:val="left"/>
            </w:pPr>
            <w:r>
              <w:t>​</w:t>
            </w:r>
          </w:p>
        </w:tc>
        <w:tc>
          <w:tcPr>
            <w:tcW w:w="260" w:type="dxa"/>
            <w:tcBorders/>
            <w:vAlign w:val="center"/>
          </w:tcPr>
          <w:p>
            <w:pPr>
              <w:pStyle w:val="TableContents"/>
              <w:bidi w:val="0"/>
              <w:spacing w:lineRule="auto" w:line="285" w:before="0" w:after="0"/>
              <w:ind w:left="0" w:right="0" w:hanging="0"/>
              <w:jc w:val="left"/>
            </w:pPr>
            <w:r>
              <w:t>​</w:t>
            </w:r>
          </w:p>
        </w:tc>
        <w:tc>
          <w:tcPr>
            <w:tcW w:w="76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75"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9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1,339</w:t>
            </w:r>
          </w:p>
        </w:tc>
      </w:tr>
      <w:tr>
        <w:tc>
          <w:tcPr>
            <w:tcW w:w="2770"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upon follow-on public offering, net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9,085,778</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06" w:type="dxa"/>
            <w:tcBorders/>
            <w:shd w:fill="CCEEFF" w:val="clear"/>
            <w:vAlign w:val="center"/>
          </w:tcPr>
          <w:p>
            <w:pPr>
              <w:pStyle w:val="TableContents"/>
              <w:bidi w:val="0"/>
              <w:spacing w:lineRule="auto" w:line="285" w:before="0" w:after="0"/>
              <w:ind w:left="0" w:right="0" w:hanging="0"/>
              <w:jc w:val="left"/>
            </w:pPr>
            <w:r>
              <w:t>​</w:t>
            </w:r>
          </w:p>
        </w:tc>
        <w:tc>
          <w:tcPr>
            <w:tcW w:w="3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189,406</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0" w:type="dxa"/>
            <w:tcBorders/>
            <w:shd w:fill="CCEEFF" w:val="clear"/>
            <w:vAlign w:val="center"/>
          </w:tcPr>
          <w:p>
            <w:pPr>
              <w:pStyle w:val="TableContents"/>
              <w:bidi w:val="0"/>
              <w:spacing w:lineRule="auto" w:line="285" w:before="0" w:after="0"/>
              <w:ind w:left="0" w:right="0" w:hanging="0"/>
              <w:jc w:val="left"/>
            </w:pPr>
            <w:r>
              <w:t>​</w:t>
            </w:r>
          </w:p>
        </w:tc>
        <w:tc>
          <w:tcPr>
            <w:tcW w:w="76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75"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189,407</w:t>
            </w:r>
          </w:p>
        </w:tc>
      </w:tr>
      <w:tr>
        <w:tc>
          <w:tcPr>
            <w:tcW w:w="2770"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vAlign w:val="center"/>
          </w:tcPr>
          <w:p>
            <w:pPr>
              <w:pStyle w:val="TableContents"/>
              <w:bidi w:val="0"/>
              <w:spacing w:lineRule="auto" w:line="285" w:before="0" w:after="0"/>
              <w:ind w:left="0" w:right="0" w:hanging="0"/>
              <w:jc w:val="left"/>
            </w:pPr>
            <w:r>
              <w:t>​</w:t>
            </w:r>
          </w:p>
        </w:tc>
        <w:tc>
          <w:tcPr>
            <w:tcW w:w="365"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2,650</w:t>
            </w:r>
          </w:p>
        </w:tc>
        <w:tc>
          <w:tcPr>
            <w:tcW w:w="346" w:type="dxa"/>
            <w:tcBorders/>
            <w:vAlign w:val="center"/>
          </w:tcPr>
          <w:p>
            <w:pPr>
              <w:pStyle w:val="TableContents"/>
              <w:bidi w:val="0"/>
              <w:spacing w:lineRule="auto" w:line="285" w:before="0" w:after="0"/>
              <w:ind w:left="0" w:right="0" w:hanging="0"/>
              <w:jc w:val="left"/>
            </w:pPr>
            <w:r>
              <w:t>​</w:t>
            </w:r>
          </w:p>
        </w:tc>
        <w:tc>
          <w:tcPr>
            <w:tcW w:w="260" w:type="dxa"/>
            <w:tcBorders/>
            <w:vAlign w:val="center"/>
          </w:tcPr>
          <w:p>
            <w:pPr>
              <w:pStyle w:val="TableContents"/>
              <w:bidi w:val="0"/>
              <w:spacing w:lineRule="auto" w:line="285" w:before="0" w:after="0"/>
              <w:ind w:left="0" w:right="0" w:hanging="0"/>
              <w:jc w:val="left"/>
            </w:pPr>
            <w:r>
              <w:t>​</w:t>
            </w:r>
          </w:p>
        </w:tc>
        <w:tc>
          <w:tcPr>
            <w:tcW w:w="76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75"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9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2,650</w:t>
            </w:r>
          </w:p>
        </w:tc>
      </w:tr>
      <w:tr>
        <w:tc>
          <w:tcPr>
            <w:tcW w:w="27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Unrealized loss on marketable securities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916"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06" w:type="dxa"/>
            <w:tcBorders/>
            <w:shd w:fill="CCEEFF" w:val="clear"/>
            <w:vAlign w:val="center"/>
          </w:tcPr>
          <w:p>
            <w:pPr>
              <w:pStyle w:val="TableContents"/>
              <w:bidi w:val="0"/>
              <w:spacing w:lineRule="auto" w:line="285" w:before="0" w:after="0"/>
              <w:ind w:left="0" w:right="0" w:hanging="0"/>
              <w:jc w:val="left"/>
            </w:pPr>
            <w:r>
              <w:t>​</w:t>
            </w:r>
          </w:p>
        </w:tc>
        <w:tc>
          <w:tcPr>
            <w:tcW w:w="365"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69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0" w:type="dxa"/>
            <w:tcBorders/>
            <w:shd w:fill="CCEEFF" w:val="clear"/>
            <w:vAlign w:val="center"/>
          </w:tcPr>
          <w:p>
            <w:pPr>
              <w:pStyle w:val="TableContents"/>
              <w:bidi w:val="0"/>
              <w:spacing w:lineRule="auto" w:line="285" w:before="0" w:after="0"/>
              <w:ind w:left="0" w:right="0" w:hanging="0"/>
              <w:jc w:val="left"/>
            </w:pPr>
            <w:r>
              <w:t>​</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(334)</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75"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(334)</w:t>
            </w:r>
          </w:p>
        </w:tc>
      </w:tr>
      <w:tr>
        <w:tc>
          <w:tcPr>
            <w:tcW w:w="2770"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vAlign w:val="center"/>
          </w:tcPr>
          <w:p>
            <w:pPr>
              <w:pStyle w:val="TableContents"/>
              <w:bidi w:val="0"/>
              <w:spacing w:lineRule="auto" w:line="285" w:before="0" w:after="0"/>
              <w:ind w:left="0" w:right="0" w:hanging="0"/>
              <w:jc w:val="left"/>
            </w:pPr>
            <w:r>
              <w:t>​</w:t>
            </w:r>
          </w:p>
        </w:tc>
        <w:tc>
          <w:tcPr>
            <w:tcW w:w="365"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69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60" w:type="dxa"/>
            <w:tcBorders/>
            <w:vAlign w:val="center"/>
          </w:tcPr>
          <w:p>
            <w:pPr>
              <w:pStyle w:val="TableContents"/>
              <w:bidi w:val="0"/>
              <w:spacing w:lineRule="auto" w:line="285" w:before="0" w:after="0"/>
              <w:ind w:left="0" w:right="0" w:hanging="0"/>
              <w:jc w:val="left"/>
            </w:pPr>
            <w:r>
              <w:t>​</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104</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75"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9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104</w:t>
            </w:r>
          </w:p>
        </w:tc>
      </w:tr>
      <w:tr>
        <w:tc>
          <w:tcPr>
            <w:tcW w:w="27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7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(13,692)</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7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(13,692)</w:t>
            </w:r>
          </w:p>
        </w:tc>
      </w:tr>
      <w:tr>
        <w:tc>
          <w:tcPr>
            <w:tcW w:w="2770"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Balance at March 31, 2026</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84,090,424</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667,782</w:t>
            </w:r>
          </w:p>
        </w:tc>
        <w:tc>
          <w:tcPr>
            <w:tcW w:w="346" w:type="dxa"/>
            <w:tcBorders/>
            <w:vAlign w:val="center"/>
          </w:tcPr>
          <w:p>
            <w:pPr>
              <w:pStyle w:val="TableContents"/>
              <w:bidi w:val="0"/>
              <w:spacing w:lineRule="auto" w:line="285" w:before="0" w:after="0"/>
              <w:ind w:left="0" w:right="0" w:hanging="0"/>
              <w:jc w:val="left"/>
            </w:pPr>
            <w:r>
              <w:t>​</w:t>
            </w:r>
          </w:p>
        </w:tc>
        <w:tc>
          <w:tcPr>
            <w:tcW w:w="26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(1,126)</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(425,985)</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240,679</w:t>
            </w:r>
          </w:p>
        </w:tc>
      </w:tr>
      <w:tr>
        <w:tc>
          <w:tcPr>
            <w:tcW w:w="27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Common stock issued upon exercise of stock options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30,520</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06" w:type="dxa"/>
            <w:tcBorders/>
            <w:shd w:fill="CCEEFF" w:val="clear"/>
            <w:vAlign w:val="center"/>
          </w:tcPr>
          <w:p>
            <w:pPr>
              <w:pStyle w:val="TableContents"/>
              <w:bidi w:val="0"/>
              <w:spacing w:lineRule="auto" w:line="285" w:before="0" w:after="0"/>
              <w:ind w:left="0" w:right="0" w:hanging="0"/>
              <w:jc w:val="left"/>
            </w:pPr>
            <w:r>
              <w:t>​</w:t>
            </w:r>
          </w:p>
        </w:tc>
        <w:tc>
          <w:tcPr>
            <w:tcW w:w="365"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166</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0" w:type="dxa"/>
            <w:tcBorders/>
            <w:shd w:fill="CCEEFF" w:val="clear"/>
            <w:vAlign w:val="center"/>
          </w:tcPr>
          <w:p>
            <w:pPr>
              <w:pStyle w:val="TableContents"/>
              <w:bidi w:val="0"/>
              <w:spacing w:lineRule="auto" w:line="285" w:before="0" w:after="0"/>
              <w:ind w:left="0" w:right="0" w:hanging="0"/>
              <w:jc w:val="left"/>
            </w:pPr>
            <w:r>
              <w:t>​</w:t>
            </w:r>
          </w:p>
        </w:tc>
        <w:tc>
          <w:tcPr>
            <w:tcW w:w="76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75"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166</w:t>
            </w:r>
          </w:p>
        </w:tc>
      </w:tr>
      <w:tr>
        <w:tc>
          <w:tcPr>
            <w:tcW w:w="2770"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vAlign w:val="center"/>
          </w:tcPr>
          <w:p>
            <w:pPr>
              <w:pStyle w:val="TableContents"/>
              <w:bidi w:val="0"/>
              <w:spacing w:lineRule="auto" w:line="285" w:before="0" w:after="0"/>
              <w:ind w:left="0" w:right="0" w:hanging="0"/>
              <w:jc w:val="left"/>
            </w:pPr>
            <w:r>
              <w:t>​</w:t>
            </w:r>
          </w:p>
        </w:tc>
        <w:tc>
          <w:tcPr>
            <w:tcW w:w="365"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2,609</w:t>
            </w:r>
          </w:p>
        </w:tc>
        <w:tc>
          <w:tcPr>
            <w:tcW w:w="346" w:type="dxa"/>
            <w:tcBorders/>
            <w:vAlign w:val="center"/>
          </w:tcPr>
          <w:p>
            <w:pPr>
              <w:pStyle w:val="TableContents"/>
              <w:bidi w:val="0"/>
              <w:spacing w:lineRule="auto" w:line="285" w:before="0" w:after="0"/>
              <w:ind w:left="0" w:right="0" w:hanging="0"/>
              <w:jc w:val="left"/>
            </w:pPr>
            <w:r>
              <w:t>​</w:t>
            </w:r>
          </w:p>
        </w:tc>
        <w:tc>
          <w:tcPr>
            <w:tcW w:w="260" w:type="dxa"/>
            <w:tcBorders/>
            <w:vAlign w:val="center"/>
          </w:tcPr>
          <w:p>
            <w:pPr>
              <w:pStyle w:val="TableContents"/>
              <w:bidi w:val="0"/>
              <w:spacing w:lineRule="auto" w:line="285" w:before="0" w:after="0"/>
              <w:ind w:left="0" w:right="0" w:hanging="0"/>
              <w:jc w:val="left"/>
            </w:pPr>
            <w:r>
              <w:t>​</w:t>
            </w:r>
          </w:p>
        </w:tc>
        <w:tc>
          <w:tcPr>
            <w:tcW w:w="76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75"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9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2,609</w:t>
            </w:r>
          </w:p>
        </w:tc>
      </w:tr>
      <w:tr>
        <w:tc>
          <w:tcPr>
            <w:tcW w:w="27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Unrealized loss on marketable securities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916"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06" w:type="dxa"/>
            <w:tcBorders/>
            <w:shd w:fill="CCEEFF" w:val="clear"/>
            <w:vAlign w:val="center"/>
          </w:tcPr>
          <w:p>
            <w:pPr>
              <w:pStyle w:val="TableContents"/>
              <w:bidi w:val="0"/>
              <w:spacing w:lineRule="auto" w:line="285" w:before="0" w:after="0"/>
              <w:ind w:left="0" w:right="0" w:hanging="0"/>
              <w:jc w:val="left"/>
            </w:pPr>
            <w:r>
              <w:t>​</w:t>
            </w:r>
          </w:p>
        </w:tc>
        <w:tc>
          <w:tcPr>
            <w:tcW w:w="365"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69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0" w:type="dxa"/>
            <w:tcBorders/>
            <w:shd w:fill="CCEEFF" w:val="clear"/>
            <w:vAlign w:val="center"/>
          </w:tcPr>
          <w:p>
            <w:pPr>
              <w:pStyle w:val="TableContents"/>
              <w:bidi w:val="0"/>
              <w:spacing w:lineRule="auto" w:line="285" w:before="0" w:after="0"/>
              <w:ind w:left="0" w:right="0" w:hanging="0"/>
              <w:jc w:val="left"/>
            </w:pPr>
            <w:r>
              <w:t>​</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(487)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75"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(487)</w:t>
            </w:r>
          </w:p>
        </w:tc>
      </w:tr>
      <w:tr>
        <w:tc>
          <w:tcPr>
            <w:tcW w:w="2770"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vAlign w:val="center"/>
          </w:tcPr>
          <w:p>
            <w:pPr>
              <w:pStyle w:val="TableContents"/>
              <w:bidi w:val="0"/>
              <w:spacing w:lineRule="auto" w:line="285" w:before="0" w:after="0"/>
              <w:ind w:left="0" w:right="0" w:hanging="0"/>
              <w:jc w:val="left"/>
            </w:pPr>
            <w:r>
              <w:t>​</w:t>
            </w:r>
          </w:p>
        </w:tc>
        <w:tc>
          <w:tcPr>
            <w:tcW w:w="365"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69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60" w:type="dxa"/>
            <w:tcBorders/>
            <w:vAlign w:val="center"/>
          </w:tcPr>
          <w:p>
            <w:pPr>
              <w:pStyle w:val="TableContents"/>
              <w:bidi w:val="0"/>
              <w:spacing w:lineRule="auto" w:line="285" w:before="0" w:after="0"/>
              <w:ind w:left="0" w:right="0" w:hanging="0"/>
              <w:jc w:val="left"/>
            </w:pPr>
            <w:r>
              <w:t>​</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320</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75"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9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320</w:t>
            </w:r>
          </w:p>
        </w:tc>
      </w:tr>
      <w:tr>
        <w:tc>
          <w:tcPr>
            <w:tcW w:w="27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7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(17,959)</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7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(17,959)</w:t>
            </w:r>
          </w:p>
        </w:tc>
      </w:tr>
      <w:tr>
        <w:tc>
          <w:tcPr>
            <w:tcW w:w="2770"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Balance at June 30, 2026</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84,120,944</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670,557</w:t>
            </w:r>
          </w:p>
        </w:tc>
        <w:tc>
          <w:tcPr>
            <w:tcW w:w="346" w:type="dxa"/>
            <w:tcBorders/>
            <w:vAlign w:val="center"/>
          </w:tcPr>
          <w:p>
            <w:pPr>
              <w:pStyle w:val="TableContents"/>
              <w:bidi w:val="0"/>
              <w:spacing w:lineRule="auto" w:line="285" w:before="0" w:after="0"/>
              <w:ind w:left="0" w:right="0" w:hanging="0"/>
              <w:jc w:val="left"/>
            </w:pPr>
            <w:r>
              <w:t>​</w:t>
            </w:r>
          </w:p>
        </w:tc>
        <w:tc>
          <w:tcPr>
            <w:tcW w:w="26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(1,293)</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(443,944)</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225,328</w:t>
            </w:r>
          </w:p>
        </w:tc>
      </w:tr>
      <w:tr>
        <w:tc>
          <w:tcPr>
            <w:tcW w:w="27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Common stock issued on exercise of stock options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198,432</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06" w:type="dxa"/>
            <w:tcBorders/>
            <w:shd w:fill="CCEEFF" w:val="clear"/>
            <w:vAlign w:val="center"/>
          </w:tcPr>
          <w:p>
            <w:pPr>
              <w:pStyle w:val="TableContents"/>
              <w:bidi w:val="0"/>
              <w:spacing w:lineRule="auto" w:line="285" w:before="0" w:after="0"/>
              <w:ind w:left="0" w:right="0" w:hanging="0"/>
              <w:jc w:val="left"/>
            </w:pPr>
            <w:r>
              <w:t>​</w:t>
            </w:r>
          </w:p>
        </w:tc>
        <w:tc>
          <w:tcPr>
            <w:tcW w:w="365"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805</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0" w:type="dxa"/>
            <w:tcBorders/>
            <w:shd w:fill="CCEEFF" w:val="clear"/>
            <w:vAlign w:val="center"/>
          </w:tcPr>
          <w:p>
            <w:pPr>
              <w:pStyle w:val="TableContents"/>
              <w:bidi w:val="0"/>
              <w:spacing w:lineRule="auto" w:line="285" w:before="0" w:after="0"/>
              <w:ind w:left="0" w:right="0" w:hanging="0"/>
              <w:jc w:val="left"/>
            </w:pPr>
            <w:r>
              <w:t>​</w:t>
            </w:r>
          </w:p>
        </w:tc>
        <w:tc>
          <w:tcPr>
            <w:tcW w:w="76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75"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805</w:t>
            </w:r>
          </w:p>
        </w:tc>
      </w:tr>
      <w:tr>
        <w:tc>
          <w:tcPr>
            <w:tcW w:w="2770"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vAlign w:val="center"/>
          </w:tcPr>
          <w:p>
            <w:pPr>
              <w:pStyle w:val="TableContents"/>
              <w:bidi w:val="0"/>
              <w:spacing w:lineRule="auto" w:line="285" w:before="0" w:after="0"/>
              <w:ind w:left="0" w:right="0" w:hanging="0"/>
              <w:jc w:val="left"/>
            </w:pPr>
            <w:r>
              <w:t>​</w:t>
            </w:r>
          </w:p>
        </w:tc>
        <w:tc>
          <w:tcPr>
            <w:tcW w:w="365"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2,829</w:t>
            </w:r>
          </w:p>
        </w:tc>
        <w:tc>
          <w:tcPr>
            <w:tcW w:w="346" w:type="dxa"/>
            <w:tcBorders/>
            <w:vAlign w:val="center"/>
          </w:tcPr>
          <w:p>
            <w:pPr>
              <w:pStyle w:val="TableContents"/>
              <w:bidi w:val="0"/>
              <w:spacing w:lineRule="auto" w:line="285" w:before="0" w:after="0"/>
              <w:ind w:left="0" w:right="0" w:hanging="0"/>
              <w:jc w:val="left"/>
            </w:pPr>
            <w:r>
              <w:t>​</w:t>
            </w:r>
          </w:p>
        </w:tc>
        <w:tc>
          <w:tcPr>
            <w:tcW w:w="260" w:type="dxa"/>
            <w:tcBorders/>
            <w:vAlign w:val="center"/>
          </w:tcPr>
          <w:p>
            <w:pPr>
              <w:pStyle w:val="TableContents"/>
              <w:bidi w:val="0"/>
              <w:spacing w:lineRule="auto" w:line="285" w:before="0" w:after="0"/>
              <w:ind w:left="0" w:right="0" w:hanging="0"/>
              <w:jc w:val="left"/>
            </w:pPr>
            <w:r>
              <w:t>​</w:t>
            </w:r>
          </w:p>
        </w:tc>
        <w:tc>
          <w:tcPr>
            <w:tcW w:w="76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75"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9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2,829</w:t>
            </w:r>
          </w:p>
        </w:tc>
      </w:tr>
      <w:tr>
        <w:tc>
          <w:tcPr>
            <w:tcW w:w="27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Unrealized loss on marketable securities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916"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06" w:type="dxa"/>
            <w:tcBorders/>
            <w:shd w:fill="CCEEFF" w:val="clear"/>
            <w:vAlign w:val="center"/>
          </w:tcPr>
          <w:p>
            <w:pPr>
              <w:pStyle w:val="TableContents"/>
              <w:bidi w:val="0"/>
              <w:spacing w:lineRule="auto" w:line="285" w:before="0" w:after="0"/>
              <w:ind w:left="0" w:right="0" w:hanging="0"/>
              <w:jc w:val="left"/>
            </w:pPr>
            <w:r>
              <w:t>​</w:t>
            </w:r>
          </w:p>
        </w:tc>
        <w:tc>
          <w:tcPr>
            <w:tcW w:w="365"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69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0" w:type="dxa"/>
            <w:tcBorders/>
            <w:shd w:fill="CCEEFF" w:val="clear"/>
            <w:vAlign w:val="center"/>
          </w:tcPr>
          <w:p>
            <w:pPr>
              <w:pStyle w:val="TableContents"/>
              <w:bidi w:val="0"/>
              <w:spacing w:lineRule="auto" w:line="285" w:before="0" w:after="0"/>
              <w:ind w:left="0" w:right="0" w:hanging="0"/>
              <w:jc w:val="left"/>
            </w:pPr>
            <w:r>
              <w:t>​</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(548)</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75"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(548)</w:t>
            </w:r>
          </w:p>
        </w:tc>
      </w:tr>
      <w:tr>
        <w:tc>
          <w:tcPr>
            <w:tcW w:w="2770"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vAlign w:val="center"/>
          </w:tcPr>
          <w:p>
            <w:pPr>
              <w:pStyle w:val="TableContents"/>
              <w:bidi w:val="0"/>
              <w:spacing w:lineRule="auto" w:line="285" w:before="0" w:after="0"/>
              <w:ind w:left="0" w:right="0" w:hanging="0"/>
              <w:jc w:val="left"/>
            </w:pPr>
            <w:r>
              <w:t>​</w:t>
            </w:r>
          </w:p>
        </w:tc>
        <w:tc>
          <w:tcPr>
            <w:tcW w:w="365"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69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60" w:type="dxa"/>
            <w:tcBorders/>
            <w:vAlign w:val="center"/>
          </w:tcPr>
          <w:p>
            <w:pPr>
              <w:pStyle w:val="TableContents"/>
              <w:bidi w:val="0"/>
              <w:spacing w:lineRule="auto" w:line="285" w:before="0" w:after="0"/>
              <w:ind w:left="0" w:right="0" w:hanging="0"/>
              <w:jc w:val="left"/>
            </w:pPr>
            <w:r>
              <w:t>​</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250</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75"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9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250</w:t>
            </w:r>
          </w:p>
        </w:tc>
      </w:tr>
      <w:tr>
        <w:tc>
          <w:tcPr>
            <w:tcW w:w="27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7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(20,343)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7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(20,343)</w:t>
            </w:r>
          </w:p>
        </w:tc>
      </w:tr>
      <w:tr>
        <w:tc>
          <w:tcPr>
            <w:tcW w:w="2770"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Balance at September 30, 2026</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84,319,376</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674,191</w:t>
            </w:r>
          </w:p>
        </w:tc>
        <w:tc>
          <w:tcPr>
            <w:tcW w:w="346" w:type="dxa"/>
            <w:tcBorders/>
            <w:vAlign w:val="center"/>
          </w:tcPr>
          <w:p>
            <w:pPr>
              <w:pStyle w:val="TableContents"/>
              <w:bidi w:val="0"/>
              <w:spacing w:lineRule="auto" w:line="285" w:before="0" w:after="0"/>
              <w:ind w:left="0" w:right="0" w:hanging="0"/>
              <w:jc w:val="left"/>
            </w:pPr>
            <w:r>
              <w:t>​</w:t>
            </w:r>
          </w:p>
        </w:tc>
        <w:tc>
          <w:tcPr>
            <w:tcW w:w="26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(1,591)</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(464,287)</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6"/>
              </w:rPr>
            </w:pPr>
            <w:r>
              <w:rPr>
                <w:rFonts w:ascii="Times New Roman;Times;serif" w:hAnsi="Times New Roman;Times;serif"/>
                <w:sz w:val="16"/>
              </w:rPr>
              <w:t>208,321</w:t>
            </w:r>
          </w:p>
        </w:tc>
      </w:tr>
    </w:tbl>
    <w:p>
      <w:pPr>
        <w:pStyle w:val="TextBody"/>
        <w:bidi w:val="0"/>
        <w:spacing w:lineRule="auto" w:line="285" w:before="0" w:after="0"/>
        <w:ind w:left="0" w:right="0" w:hanging="0"/>
        <w:jc w:val="left"/>
      </w:pPr>
      <w:r>
        <w:t>​</w:t>
      </w:r>
    </w:p>
    <w:p>
      <w:pPr>
        <w:pStyle w:val="Normal"/>
        <w:bidi w:val="0"/>
        <w:spacing w:before="0" w:after="0"/>
        <w:jc w:val="left"/>
        <w:rPr>
          <w:sz w:val="4"/>
          <w:szCs w:val="4"/>
        </w:rPr>
      </w:pPr>
      <w:r>
        <w:rPr>
          <w:sz w:val="4"/>
          <w:szCs w:val="4"/>
        </w:rPr>
      </w:r>
      <w:bookmarkStart w:id="459" w:name="Tc_UQ3UbKws8EaKJmc0zgzstA_26_16"/>
      <w:bookmarkStart w:id="460" w:name="Tc_aipc7ZHZs0u00IF2CpF8QA_26_13"/>
      <w:bookmarkStart w:id="461" w:name="Tc_e5i7Z5PsnkCzLs4L0TvNdA_26_10"/>
      <w:bookmarkStart w:id="462" w:name="Tc_6MBWI5sn0kKKj5ehKOlQuw_26_7"/>
      <w:bookmarkStart w:id="463" w:name="Tc_9mqDZYdNdkmVkuBgt0A-FA_26_4"/>
      <w:bookmarkStart w:id="464" w:name="Tc_8Xv7Omocv0WRxYNerFh0jw_26_0"/>
      <w:bookmarkStart w:id="465" w:name="Tc_vvDg54tFRUqm5grnD45EDQ_25_11"/>
      <w:bookmarkStart w:id="466" w:name="Tc_wb9x0FgMvkCGBUnaryY8Gg_25_8"/>
      <w:bookmarkStart w:id="467" w:name="Tc_veLSCKEjikSFnEKrhJs6XQ_25_5"/>
      <w:bookmarkStart w:id="468" w:name="Tc_AaXm89HWz0GTPi_aDw4FHg_25_2"/>
      <w:bookmarkStart w:id="469" w:name="Tc_jMubgD397Eq0RNcekLMi3w_25_0"/>
      <w:bookmarkStart w:id="470" w:name="Tc_VWzF35QSHUKM8yCGfpjpvw_24_14"/>
      <w:bookmarkStart w:id="471" w:name="Tc_TcdxnHMwikilhzrO5YSCzA_24_8"/>
      <w:bookmarkStart w:id="472" w:name="Tc_IvAUGgvDx0-l8_Le2FCJ9w_24_5"/>
      <w:bookmarkStart w:id="473" w:name="Tc_ukaNOc1Oy0qoY13yFB0D1w_24_2"/>
      <w:bookmarkStart w:id="474" w:name="Tc_iJB1tSaL6kGQzS_ARxAPcg_24_0"/>
      <w:bookmarkStart w:id="475" w:name="Tc__hIumBiB5EeDR0cYX3VXXA_23_14"/>
      <w:bookmarkStart w:id="476" w:name="Tc_xlLeMT6Nuk65F3BZ62OM3A_23_8"/>
      <w:bookmarkStart w:id="477" w:name="Tc_pGBTWz2-zkKbdIKi0RuONA_23_5"/>
      <w:bookmarkStart w:id="478" w:name="Tc_F-9Y6KNzM0eStq8EJRVoxQ_23_2"/>
      <w:bookmarkStart w:id="479" w:name="Tc_W3exhcqwaEiM9xKAVO7k3Q_23_0"/>
      <w:bookmarkStart w:id="480" w:name="Tc_gGFjhRSD8EmPr0qGsltVoQ_22_14"/>
      <w:bookmarkStart w:id="481" w:name="Tc_Wn2Tjlf-cUmZB83Fau50jw_22_11"/>
      <w:bookmarkStart w:id="482" w:name="Tc_tG_rl9HvQECq-wOgi4JAhA_22_5"/>
      <w:bookmarkStart w:id="483" w:name="Tc_Z7ueTklw0k2tyHn0P6yQ-A_22_2"/>
      <w:bookmarkStart w:id="484" w:name="Tc_BDRr4sQo-kmzEmbeIyCc9A_22_0"/>
      <w:bookmarkStart w:id="485" w:name="Tc_B2Cv-jpzTUOSgTtYOmwS2w_21_14"/>
      <w:bookmarkStart w:id="486" w:name="Tc_uCIWll2MX0SSdvj-z5z79w_21_11"/>
      <w:bookmarkStart w:id="487" w:name="Tc_2dWNahd5kE6zgNb_039-TA_21_5"/>
      <w:bookmarkStart w:id="488" w:name="Tc_-o_Ybkgja0agp0RVS_ojoA_21_0"/>
      <w:bookmarkStart w:id="489" w:name="Tc_E0qZCLrKF0qN0dJQjSFzGw_20_16"/>
      <w:bookmarkStart w:id="490" w:name="Tc_xQKoIw9jOkON3PGjnGCiQA_20_13"/>
      <w:bookmarkStart w:id="491" w:name="Tc_aKF6ktASlEGzqgAUP0CuCg_20_10"/>
      <w:bookmarkStart w:id="492" w:name="Tc_1pigfko9sUe0xSP4j5jWcw_20_7"/>
      <w:bookmarkStart w:id="493" w:name="Tc_QasdvNJE3UuonZR5aVKH4w_20_4"/>
      <w:bookmarkStart w:id="494" w:name="Tc_Y-ZaHuHAKEaZXp-HNyJJmw_20_0"/>
      <w:bookmarkStart w:id="495" w:name="Tc_VdmQcMB9yUCAufnSWQPyjQ_19_11"/>
      <w:bookmarkStart w:id="496" w:name="Tc_4q_-DfVy60aLsu1vi5U6CQ_19_8"/>
      <w:bookmarkStart w:id="497" w:name="Tc_34d5FRZi4EyJ5cx0D0ROPw_19_5"/>
      <w:bookmarkStart w:id="498" w:name="Tc_kv6StdsdnkWttQFgK1itrA_19_2"/>
      <w:bookmarkStart w:id="499" w:name="Tc_PFwkFWE9uUyQsXegxPIaHw_19_0"/>
      <w:bookmarkStart w:id="500" w:name="Tc_f2B_yVjWgUm9EM1-cBUObA_18_14"/>
      <w:bookmarkStart w:id="501" w:name="Tc_ZSSyWYCBmEOVzghw5Gre5A_18_8"/>
      <w:bookmarkStart w:id="502" w:name="Tc__6u9ZHt2DU6PXHq-WzlapA_18_5"/>
      <w:bookmarkStart w:id="503" w:name="Tc_Vomm78O_5UK6n7FLfzCPpw_18_2"/>
      <w:bookmarkStart w:id="504" w:name="Tc_61yChDU-ikWMzasPzuYG9g_18_0"/>
      <w:bookmarkStart w:id="505" w:name="Tc_NacWnT0AkUajGOJVc1doPQ_17_14"/>
      <w:bookmarkStart w:id="506" w:name="Tc_PECs5Ze2JUGju_CqRAM8aA_17_8"/>
      <w:bookmarkStart w:id="507" w:name="Tc_w3Cf2eNooUquRuEJxq3fNA_17_5"/>
      <w:bookmarkStart w:id="508" w:name="Tc_U5JVJoih_ECgugubF8BW6Q_17_2"/>
      <w:bookmarkStart w:id="509" w:name="Tc_r8qzkT3RHEK2XDcsT4N53w_17_0"/>
      <w:bookmarkStart w:id="510" w:name="Tc_oZEbbB6rS06GCyMMiwpwJQ_16_14"/>
      <w:bookmarkStart w:id="511" w:name="Tc_ioc76oEhX0eCaSFC0voALg_16_11"/>
      <w:bookmarkStart w:id="512" w:name="Tc_fv1PCCKsH0S45XX17zY5dQ_16_5"/>
      <w:bookmarkStart w:id="513" w:name="Tc_u-I34olVvUa6dZp6UlD4_Q_16_2"/>
      <w:bookmarkStart w:id="514" w:name="Tc_Ze9XQ7oGR0yDkLwqrWEIOQ_16_0"/>
      <w:bookmarkStart w:id="515" w:name="Tc_-NG5fJj5NU234t2NVi9ohw_15_14"/>
      <w:bookmarkStart w:id="516" w:name="Tc_ue5GZ-krQESZDS7FbozKLQ_15_11"/>
      <w:bookmarkStart w:id="517" w:name="Tc_n-VLGIL7mkGEmIUCNS501Q_15_5"/>
      <w:bookmarkStart w:id="518" w:name="Tc_I2CAxHDIlEGZvjq5a5AdJQ_15_0"/>
      <w:bookmarkStart w:id="519" w:name="Tc_N4hi_OOEQUm6xF52KDV9pA_14_14"/>
      <w:bookmarkStart w:id="520" w:name="Tc_2Vn6eAwDOkWxG-9yp-ELQA_14_11"/>
      <w:bookmarkStart w:id="521" w:name="Tc_Tmsrb46e10GKZdOinyXHkQ_14_5"/>
      <w:bookmarkStart w:id="522" w:name="Tc_D5Bn2IQVk06JwwjnaZ_p6A_14_2"/>
      <w:bookmarkStart w:id="523" w:name="Tc_BmseQfyspU6KPVIGUBQx1Q_14_0"/>
      <w:bookmarkStart w:id="524" w:name="Tc_ovoK7x8AikWXM8Bn2PFlkw_13_14"/>
      <w:bookmarkStart w:id="525" w:name="Tc_ERsrxdcpskqzpv67mlj3_A_13_11"/>
      <w:bookmarkStart w:id="526" w:name="Tc_afcxq1Ex00SxSUQipZQSxQ_13_5"/>
      <w:bookmarkStart w:id="527" w:name="Tc_yTiLoVBuyEafGNSepOqwfQ_13_0"/>
      <w:bookmarkStart w:id="528" w:name="Tc_Kz1hY_Fxtkew6drzzeH0jg_12_16"/>
      <w:bookmarkStart w:id="529" w:name="Tc_PxOMCStUS0S8suiOEfa7Ig_12_13"/>
      <w:bookmarkStart w:id="530" w:name="Tc_Gt4agw_Nck6yl_0yvVHk3w_12_10"/>
      <w:bookmarkStart w:id="531" w:name="Tc_NFX9sOc4E0e8a_UWAyCbSA_12_7"/>
      <w:bookmarkStart w:id="532" w:name="Tc_vLhg1ET-sEmwUnfangj2_A_12_4"/>
      <w:bookmarkStart w:id="533" w:name="Tc_6LSGpWwXq0yqJz-ikeX8tA_12_0"/>
      <w:bookmarkStart w:id="534" w:name="Tc_rASE7g-eXke__cQEJLoF0g_11_11"/>
      <w:bookmarkStart w:id="535" w:name="Tc_P__mhq0BZESC_1ltZ9GMfw_11_8"/>
      <w:bookmarkStart w:id="536" w:name="Tc_Wty7JosW5Em0ySWJyfcXbQ_11_5"/>
      <w:bookmarkStart w:id="537" w:name="Tc_sH2LxmMMgUu-Galjexgjhg_11_2"/>
      <w:bookmarkStart w:id="538" w:name="Tc_SYcWSfHrqkuoAmi5N8q45A_11_0"/>
      <w:bookmarkStart w:id="539" w:name="Tc_I-DsmKVHWEajrSFwwKuqjA_10_14"/>
      <w:bookmarkStart w:id="540" w:name="Tc_XOdhrBDyvkKbuCMxMKG8Kg_10_8"/>
      <w:bookmarkStart w:id="541" w:name="Tc_Ex4tOJggUUCyTIGfyjO9Xw_10_5"/>
      <w:bookmarkStart w:id="542" w:name="Tc_LD0uY-g-Y0C06rIn4vIvrQ_10_2"/>
      <w:bookmarkStart w:id="543" w:name="Tc_h_cknh93bEOVJ1KKFvT4Rw_10_0"/>
      <w:bookmarkStart w:id="544" w:name="Tc_6FlZAjebcUm69sB9golVVA_9_14"/>
      <w:bookmarkStart w:id="545" w:name="Tc_KKQ8gqNDv0GCyacixKiMnQ_9_8"/>
      <w:bookmarkStart w:id="546" w:name="Tc_a7qKBe798kyG_l_pM_FX9A_9_5"/>
      <w:bookmarkStart w:id="547" w:name="Tc_ds2Qg6N9qU6szPdV2LkDNg_9_2"/>
      <w:bookmarkStart w:id="548" w:name="Tc_bMnX9-V6R060HtVcv5qMTA_9_0"/>
      <w:bookmarkStart w:id="549" w:name="Tc_lbNoWFdKmUuaE0NJ0N2qIg_8_14"/>
      <w:bookmarkStart w:id="550" w:name="Tc_qFuhAMjTJku5fnBi8N4kTg_8_11"/>
      <w:bookmarkStart w:id="551" w:name="Tc_4VabTDJnekuZZxcgbXcmEA_8_5"/>
      <w:bookmarkStart w:id="552" w:name="Tc_GG3SKzOrY0yPVMCy9VOz8A_8_2"/>
      <w:bookmarkStart w:id="553" w:name="Tc_IBCuyrs-FUagWNhiIp6OoQ_8_0"/>
      <w:bookmarkStart w:id="554" w:name="Tc_fCQKVH9FREesBSaqC-AfSw_7_14"/>
      <w:bookmarkStart w:id="555" w:name="Tc_wFp8V8KmI0qwbgcE68yxEg_7_11"/>
      <w:bookmarkStart w:id="556" w:name="Tc_2nzV4ZI6tECva4WYXmHWmQ_7_5"/>
      <w:bookmarkStart w:id="557" w:name="Tc_vVOfN9ArOUKEZJg7QCwC2w_7_0"/>
      <w:bookmarkStart w:id="558" w:name="Tc_KtT18ohueEyJU7mywSHmJQ_6_16"/>
      <w:bookmarkStart w:id="559" w:name="Tc_aiwZlO-prUeusb-O43yMjg_6_13"/>
      <w:bookmarkStart w:id="560" w:name="Tc_gwGUTpeiFUW3heI563NmXA_6_10"/>
      <w:bookmarkStart w:id="561" w:name="Tc_ncSzFBS_FEKr3daWkPziHw_6_7"/>
      <w:bookmarkStart w:id="562" w:name="Tc_ZU9bZ0ZP2UKhKs7nQt-Uzw_6_4"/>
      <w:bookmarkStart w:id="563" w:name="Tc__fsVDQHClEqTH67cR-i6Sw_6_0"/>
      <w:bookmarkStart w:id="564" w:name="Tc_3No8Xrm7VkeXTw3S_9ewEA_5_16"/>
      <w:bookmarkStart w:id="565" w:name="Tc_me7YJjnSc0Ca_ju6Xk36eg_5_13"/>
      <w:bookmarkStart w:id="566" w:name="Tc_7vc_sTzI30uxyVvPimtCrQ_5_10"/>
      <w:bookmarkStart w:id="567" w:name="Tc_TBk43zPINEm426X6g8lwCw_5_7"/>
      <w:bookmarkStart w:id="568" w:name="Tc_puIo1cWSLUSGrQSIYW2VKg_5_4"/>
      <w:bookmarkStart w:id="569" w:name="Tc_Qfq-PhJ5B0Gd1n4s0-RuJw_5_2"/>
      <w:bookmarkStart w:id="570" w:name="Tc_sdEMtElA3UemInUqMLdkMA_4_16"/>
      <w:bookmarkStart w:id="571" w:name="Tc_DfLNGj79skeQftJ0ePMkIA_4_13"/>
      <w:bookmarkStart w:id="572" w:name="Tc_t-hpDSOmGEKrDdc5nIaM4A_4_10"/>
      <w:bookmarkStart w:id="573" w:name="Tc_NTQqwZShG0uutHaKT73RJg_4_7"/>
      <w:bookmarkStart w:id="574" w:name="Tc_hgpMLVxffU6hy_cRKEWlgw_4_2"/>
      <w:bookmarkStart w:id="575" w:name="Tc_yBcQcM2Q0kGumqiFtTEv_g_3_16"/>
      <w:bookmarkStart w:id="576" w:name="Tc_d43bbSdRjUOlJl3OcXpfpw_3_10"/>
      <w:bookmarkStart w:id="577" w:name="Tc_F-ZMmi5P7EGDScZcwc2epw_3_7"/>
      <w:bookmarkStart w:id="578" w:name="Tc_ppsdlr_uGkisAZftg0QySw_2_10"/>
      <w:bookmarkStart w:id="579" w:name="Tc_2limRpJWe0qcDyKWITEgwg_1_2"/>
      <w:bookmarkStart w:id="580" w:name="_2744fd87_5d57_4320_9a2b_319ad7ea27d0"/>
      <w:bookmarkStart w:id="581" w:name="Tc_UQ3UbKws8EaKJmc0zgzstA_26_16"/>
      <w:bookmarkStart w:id="582" w:name="Tc_aipc7ZHZs0u00IF2CpF8QA_26_13"/>
      <w:bookmarkStart w:id="583" w:name="Tc_e5i7Z5PsnkCzLs4L0TvNdA_26_10"/>
      <w:bookmarkStart w:id="584" w:name="Tc_6MBWI5sn0kKKj5ehKOlQuw_26_7"/>
      <w:bookmarkStart w:id="585" w:name="Tc_9mqDZYdNdkmVkuBgt0A-FA_26_4"/>
      <w:bookmarkStart w:id="586" w:name="Tc_8Xv7Omocv0WRxYNerFh0jw_26_0"/>
      <w:bookmarkStart w:id="587" w:name="Tc_vvDg54tFRUqm5grnD45EDQ_25_11"/>
      <w:bookmarkStart w:id="588" w:name="Tc_wb9x0FgMvkCGBUnaryY8Gg_25_8"/>
      <w:bookmarkStart w:id="589" w:name="Tc_veLSCKEjikSFnEKrhJs6XQ_25_5"/>
      <w:bookmarkStart w:id="590" w:name="Tc_AaXm89HWz0GTPi_aDw4FHg_25_2"/>
      <w:bookmarkStart w:id="591" w:name="Tc_jMubgD397Eq0RNcekLMi3w_25_0"/>
      <w:bookmarkStart w:id="592" w:name="Tc_VWzF35QSHUKM8yCGfpjpvw_24_14"/>
      <w:bookmarkStart w:id="593" w:name="Tc_TcdxnHMwikilhzrO5YSCzA_24_8"/>
      <w:bookmarkStart w:id="594" w:name="Tc_IvAUGgvDx0-l8_Le2FCJ9w_24_5"/>
      <w:bookmarkStart w:id="595" w:name="Tc_ukaNOc1Oy0qoY13yFB0D1w_24_2"/>
      <w:bookmarkStart w:id="596" w:name="Tc_iJB1tSaL6kGQzS_ARxAPcg_24_0"/>
      <w:bookmarkStart w:id="597" w:name="Tc__hIumBiB5EeDR0cYX3VXXA_23_14"/>
      <w:bookmarkStart w:id="598" w:name="Tc_xlLeMT6Nuk65F3BZ62OM3A_23_8"/>
      <w:bookmarkStart w:id="599" w:name="Tc_pGBTWz2-zkKbdIKi0RuONA_23_5"/>
      <w:bookmarkStart w:id="600" w:name="Tc_F-9Y6KNzM0eStq8EJRVoxQ_23_2"/>
      <w:bookmarkStart w:id="601" w:name="Tc_W3exhcqwaEiM9xKAVO7k3Q_23_0"/>
      <w:bookmarkStart w:id="602" w:name="Tc_gGFjhRSD8EmPr0qGsltVoQ_22_14"/>
      <w:bookmarkStart w:id="603" w:name="Tc_Wn2Tjlf-cUmZB83Fau50jw_22_11"/>
      <w:bookmarkStart w:id="604" w:name="Tc_tG_rl9HvQECq-wOgi4JAhA_22_5"/>
      <w:bookmarkStart w:id="605" w:name="Tc_Z7ueTklw0k2tyHn0P6yQ-A_22_2"/>
      <w:bookmarkStart w:id="606" w:name="Tc_BDRr4sQo-kmzEmbeIyCc9A_22_0"/>
      <w:bookmarkStart w:id="607" w:name="Tc_B2Cv-jpzTUOSgTtYOmwS2w_21_14"/>
      <w:bookmarkStart w:id="608" w:name="Tc_uCIWll2MX0SSdvj-z5z79w_21_11"/>
      <w:bookmarkStart w:id="609" w:name="Tc_2dWNahd5kE6zgNb_039-TA_21_5"/>
      <w:bookmarkStart w:id="610" w:name="Tc_-o_Ybkgja0agp0RVS_ojoA_21_0"/>
      <w:bookmarkStart w:id="611" w:name="Tc_E0qZCLrKF0qN0dJQjSFzGw_20_16"/>
      <w:bookmarkStart w:id="612" w:name="Tc_xQKoIw9jOkON3PGjnGCiQA_20_13"/>
      <w:bookmarkStart w:id="613" w:name="Tc_aKF6ktASlEGzqgAUP0CuCg_20_10"/>
      <w:bookmarkStart w:id="614" w:name="Tc_1pigfko9sUe0xSP4j5jWcw_20_7"/>
      <w:bookmarkStart w:id="615" w:name="Tc_QasdvNJE3UuonZR5aVKH4w_20_4"/>
      <w:bookmarkStart w:id="616" w:name="Tc_Y-ZaHuHAKEaZXp-HNyJJmw_20_0"/>
      <w:bookmarkStart w:id="617" w:name="Tc_VdmQcMB9yUCAufnSWQPyjQ_19_11"/>
      <w:bookmarkStart w:id="618" w:name="Tc_4q_-DfVy60aLsu1vi5U6CQ_19_8"/>
      <w:bookmarkStart w:id="619" w:name="Tc_34d5FRZi4EyJ5cx0D0ROPw_19_5"/>
      <w:bookmarkStart w:id="620" w:name="Tc_kv6StdsdnkWttQFgK1itrA_19_2"/>
      <w:bookmarkStart w:id="621" w:name="Tc_PFwkFWE9uUyQsXegxPIaHw_19_0"/>
      <w:bookmarkStart w:id="622" w:name="Tc_f2B_yVjWgUm9EM1-cBUObA_18_14"/>
      <w:bookmarkStart w:id="623" w:name="Tc_ZSSyWYCBmEOVzghw5Gre5A_18_8"/>
      <w:bookmarkStart w:id="624" w:name="Tc__6u9ZHt2DU6PXHq-WzlapA_18_5"/>
      <w:bookmarkStart w:id="625" w:name="Tc_Vomm78O_5UK6n7FLfzCPpw_18_2"/>
      <w:bookmarkStart w:id="626" w:name="Tc_61yChDU-ikWMzasPzuYG9g_18_0"/>
      <w:bookmarkStart w:id="627" w:name="Tc_NacWnT0AkUajGOJVc1doPQ_17_14"/>
      <w:bookmarkStart w:id="628" w:name="Tc_PECs5Ze2JUGju_CqRAM8aA_17_8"/>
      <w:bookmarkStart w:id="629" w:name="Tc_w3Cf2eNooUquRuEJxq3fNA_17_5"/>
      <w:bookmarkStart w:id="630" w:name="Tc_U5JVJoih_ECgugubF8BW6Q_17_2"/>
      <w:bookmarkStart w:id="631" w:name="Tc_r8qzkT3RHEK2XDcsT4N53w_17_0"/>
      <w:bookmarkStart w:id="632" w:name="Tc_oZEbbB6rS06GCyMMiwpwJQ_16_14"/>
      <w:bookmarkStart w:id="633" w:name="Tc_ioc76oEhX0eCaSFC0voALg_16_11"/>
      <w:bookmarkStart w:id="634" w:name="Tc_fv1PCCKsH0S45XX17zY5dQ_16_5"/>
      <w:bookmarkStart w:id="635" w:name="Tc_u-I34olVvUa6dZp6UlD4_Q_16_2"/>
      <w:bookmarkStart w:id="636" w:name="Tc_Ze9XQ7oGR0yDkLwqrWEIOQ_16_0"/>
      <w:bookmarkStart w:id="637" w:name="Tc_-NG5fJj5NU234t2NVi9ohw_15_14"/>
      <w:bookmarkStart w:id="638" w:name="Tc_ue5GZ-krQESZDS7FbozKLQ_15_11"/>
      <w:bookmarkStart w:id="639" w:name="Tc_n-VLGIL7mkGEmIUCNS501Q_15_5"/>
      <w:bookmarkStart w:id="640" w:name="Tc_I2CAxHDIlEGZvjq5a5AdJQ_15_0"/>
      <w:bookmarkStart w:id="641" w:name="Tc_N4hi_OOEQUm6xF52KDV9pA_14_14"/>
      <w:bookmarkStart w:id="642" w:name="Tc_2Vn6eAwDOkWxG-9yp-ELQA_14_11"/>
      <w:bookmarkStart w:id="643" w:name="Tc_Tmsrb46e10GKZdOinyXHkQ_14_5"/>
      <w:bookmarkStart w:id="644" w:name="Tc_D5Bn2IQVk06JwwjnaZ_p6A_14_2"/>
      <w:bookmarkStart w:id="645" w:name="Tc_BmseQfyspU6KPVIGUBQx1Q_14_0"/>
      <w:bookmarkStart w:id="646" w:name="Tc_ovoK7x8AikWXM8Bn2PFlkw_13_14"/>
      <w:bookmarkStart w:id="647" w:name="Tc_ERsrxdcpskqzpv67mlj3_A_13_11"/>
      <w:bookmarkStart w:id="648" w:name="Tc_afcxq1Ex00SxSUQipZQSxQ_13_5"/>
      <w:bookmarkStart w:id="649" w:name="Tc_yTiLoVBuyEafGNSepOqwfQ_13_0"/>
      <w:bookmarkStart w:id="650" w:name="Tc_Kz1hY_Fxtkew6drzzeH0jg_12_16"/>
      <w:bookmarkStart w:id="651" w:name="Tc_PxOMCStUS0S8suiOEfa7Ig_12_13"/>
      <w:bookmarkStart w:id="652" w:name="Tc_Gt4agw_Nck6yl_0yvVHk3w_12_10"/>
      <w:bookmarkStart w:id="653" w:name="Tc_NFX9sOc4E0e8a_UWAyCbSA_12_7"/>
      <w:bookmarkStart w:id="654" w:name="Tc_vLhg1ET-sEmwUnfangj2_A_12_4"/>
      <w:bookmarkStart w:id="655" w:name="Tc_6LSGpWwXq0yqJz-ikeX8tA_12_0"/>
      <w:bookmarkStart w:id="656" w:name="Tc_rASE7g-eXke__cQEJLoF0g_11_11"/>
      <w:bookmarkStart w:id="657" w:name="Tc_P__mhq0BZESC_1ltZ9GMfw_11_8"/>
      <w:bookmarkStart w:id="658" w:name="Tc_Wty7JosW5Em0ySWJyfcXbQ_11_5"/>
      <w:bookmarkStart w:id="659" w:name="Tc_sH2LxmMMgUu-Galjexgjhg_11_2"/>
      <w:bookmarkStart w:id="660" w:name="Tc_SYcWSfHrqkuoAmi5N8q45A_11_0"/>
      <w:bookmarkStart w:id="661" w:name="Tc_I-DsmKVHWEajrSFwwKuqjA_10_14"/>
      <w:bookmarkStart w:id="662" w:name="Tc_XOdhrBDyvkKbuCMxMKG8Kg_10_8"/>
      <w:bookmarkStart w:id="663" w:name="Tc_Ex4tOJggUUCyTIGfyjO9Xw_10_5"/>
      <w:bookmarkStart w:id="664" w:name="Tc_LD0uY-g-Y0C06rIn4vIvrQ_10_2"/>
      <w:bookmarkStart w:id="665" w:name="Tc_h_cknh93bEOVJ1KKFvT4Rw_10_0"/>
      <w:bookmarkStart w:id="666" w:name="Tc_6FlZAjebcUm69sB9golVVA_9_14"/>
      <w:bookmarkStart w:id="667" w:name="Tc_KKQ8gqNDv0GCyacixKiMnQ_9_8"/>
      <w:bookmarkStart w:id="668" w:name="Tc_a7qKBe798kyG_l_pM_FX9A_9_5"/>
      <w:bookmarkStart w:id="669" w:name="Tc_ds2Qg6N9qU6szPdV2LkDNg_9_2"/>
      <w:bookmarkStart w:id="670" w:name="Tc_bMnX9-V6R060HtVcv5qMTA_9_0"/>
      <w:bookmarkStart w:id="671" w:name="Tc_lbNoWFdKmUuaE0NJ0N2qIg_8_14"/>
      <w:bookmarkStart w:id="672" w:name="Tc_qFuhAMjTJku5fnBi8N4kTg_8_11"/>
      <w:bookmarkStart w:id="673" w:name="Tc_4VabTDJnekuZZxcgbXcmEA_8_5"/>
      <w:bookmarkStart w:id="674" w:name="Tc_GG3SKzOrY0yPVMCy9VOz8A_8_2"/>
      <w:bookmarkStart w:id="675" w:name="Tc_IBCuyrs-FUagWNhiIp6OoQ_8_0"/>
      <w:bookmarkStart w:id="676" w:name="Tc_fCQKVH9FREesBSaqC-AfSw_7_14"/>
      <w:bookmarkStart w:id="677" w:name="Tc_wFp8V8KmI0qwbgcE68yxEg_7_11"/>
      <w:bookmarkStart w:id="678" w:name="Tc_2nzV4ZI6tECva4WYXmHWmQ_7_5"/>
      <w:bookmarkStart w:id="679" w:name="Tc_vVOfN9ArOUKEZJg7QCwC2w_7_0"/>
      <w:bookmarkStart w:id="680" w:name="Tc_KtT18ohueEyJU7mywSHmJQ_6_16"/>
      <w:bookmarkStart w:id="681" w:name="Tc_aiwZlO-prUeusb-O43yMjg_6_13"/>
      <w:bookmarkStart w:id="682" w:name="Tc_gwGUTpeiFUW3heI563NmXA_6_10"/>
      <w:bookmarkStart w:id="683" w:name="Tc_ncSzFBS_FEKr3daWkPziHw_6_7"/>
      <w:bookmarkStart w:id="684" w:name="Tc_ZU9bZ0ZP2UKhKs7nQt-Uzw_6_4"/>
      <w:bookmarkStart w:id="685" w:name="Tc__fsVDQHClEqTH67cR-i6Sw_6_0"/>
      <w:bookmarkStart w:id="686" w:name="Tc_3No8Xrm7VkeXTw3S_9ewEA_5_16"/>
      <w:bookmarkStart w:id="687" w:name="Tc_me7YJjnSc0Ca_ju6Xk36eg_5_13"/>
      <w:bookmarkStart w:id="688" w:name="Tc_7vc_sTzI30uxyVvPimtCrQ_5_10"/>
      <w:bookmarkStart w:id="689" w:name="Tc_TBk43zPINEm426X6g8lwCw_5_7"/>
      <w:bookmarkStart w:id="690" w:name="Tc_puIo1cWSLUSGrQSIYW2VKg_5_4"/>
      <w:bookmarkStart w:id="691" w:name="Tc_Qfq-PhJ5B0Gd1n4s0-RuJw_5_2"/>
      <w:bookmarkStart w:id="692" w:name="Tc_sdEMtElA3UemInUqMLdkMA_4_16"/>
      <w:bookmarkStart w:id="693" w:name="Tc_DfLNGj79skeQftJ0ePMkIA_4_13"/>
      <w:bookmarkStart w:id="694" w:name="Tc_t-hpDSOmGEKrDdc5nIaM4A_4_10"/>
      <w:bookmarkStart w:id="695" w:name="Tc_NTQqwZShG0uutHaKT73RJg_4_7"/>
      <w:bookmarkStart w:id="696" w:name="Tc_hgpMLVxffU6hy_cRKEWlgw_4_2"/>
      <w:bookmarkStart w:id="697" w:name="Tc_yBcQcM2Q0kGumqiFtTEv_g_3_16"/>
      <w:bookmarkStart w:id="698" w:name="Tc_d43bbSdRjUOlJl3OcXpfpw_3_10"/>
      <w:bookmarkStart w:id="699" w:name="Tc_F-ZMmi5P7EGDScZcwc2epw_3_7"/>
      <w:bookmarkStart w:id="700" w:name="Tc_ppsdlr_uGkisAZftg0QySw_2_10"/>
      <w:bookmarkStart w:id="701" w:name="Tc_2limRpJWe0qcDyKWITEgwg_1_2"/>
      <w:bookmarkStart w:id="702" w:name="_2744fd87_5d57_4320_9a2b_319ad7ea27d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tbl>
      <w:tblPr>
        <w:tblW w:w="10205" w:type="dxa"/>
        <w:jc w:val="left"/>
        <w:tblInd w:w="0" w:type="dxa"/>
        <w:tblLayout w:type="fixed"/>
        <w:tblCellMar>
          <w:top w:w="0" w:type="dxa"/>
          <w:left w:w="0" w:type="dxa"/>
          <w:bottom w:w="0" w:type="dxa"/>
          <w:right w:w="0" w:type="dxa"/>
        </w:tblCellMar>
      </w:tblPr>
      <w:tblGrid>
        <w:gridCol w:w="2820"/>
        <w:gridCol w:w="346"/>
        <w:gridCol w:w="916"/>
        <w:gridCol w:w="346"/>
        <w:gridCol w:w="206"/>
        <w:gridCol w:w="365"/>
        <w:gridCol w:w="346"/>
        <w:gridCol w:w="196"/>
        <w:gridCol w:w="691"/>
        <w:gridCol w:w="346"/>
        <w:gridCol w:w="260"/>
        <w:gridCol w:w="761"/>
        <w:gridCol w:w="346"/>
        <w:gridCol w:w="196"/>
        <w:gridCol w:w="771"/>
        <w:gridCol w:w="346"/>
        <w:gridCol w:w="196"/>
        <w:gridCol w:w="751"/>
      </w:tblGrid>
      <w:tr>
        <w:tc>
          <w:tcPr>
            <w:tcW w:w="2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790700" cy="175260"/>
                      <wp:effectExtent l="0" t="0" r="0" b="0"/>
                      <wp:wrapNone/>
                      <wp:docPr id="47" name="Frame47"/>
                      <a:graphic xmlns:a="http://schemas.openxmlformats.org/drawingml/2006/main">
                        <a:graphicData uri="http://schemas.microsoft.com/office/word/2010/wordprocessingShape">
                          <wps:wsp>
                            <wps:cNvSpPr txBox="1"/>
                            <wps:spPr>
                              <a:xfrm>
                                <a:off x="0" y="0"/>
                                <a:ext cx="179070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81660" cy="175260"/>
                      <wp:effectExtent l="0" t="0" r="0" b="0"/>
                      <wp:wrapNone/>
                      <wp:docPr id="49" name="Frame4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0810" cy="175260"/>
                      <wp:effectExtent l="0" t="0" r="0" b="0"/>
                      <wp:wrapNone/>
                      <wp:docPr id="51" name="Frame5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31775" cy="175260"/>
                      <wp:effectExtent l="0" t="0" r="0" b="0"/>
                      <wp:wrapNone/>
                      <wp:docPr id="52" name="Frame52"/>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24460" cy="175260"/>
                      <wp:effectExtent l="0" t="0" r="0" b="0"/>
                      <wp:wrapNone/>
                      <wp:docPr id="54" name="Frame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38785" cy="175260"/>
                      <wp:effectExtent l="0" t="0" r="0" b="0"/>
                      <wp:wrapNone/>
                      <wp:docPr id="55" name="Frame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65100" cy="175260"/>
                      <wp:effectExtent l="0" t="0" r="0" b="0"/>
                      <wp:wrapNone/>
                      <wp:docPr id="57" name="Frame57"/>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83235" cy="175260"/>
                      <wp:effectExtent l="0" t="0" r="0" b="0"/>
                      <wp:wrapNone/>
                      <wp:docPr id="58" name="Frame58"/>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0" name="Frame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89585" cy="175260"/>
                      <wp:effectExtent l="0" t="0" r="0" b="0"/>
                      <wp:wrapNone/>
                      <wp:docPr id="61" name="Frame61"/>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63" name="Frame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76885" cy="175260"/>
                      <wp:effectExtent l="0" t="0" r="0" b="0"/>
                      <wp:wrapNone/>
                      <wp:docPr id="64" name="Frame6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2820"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7039" w:type="dxa"/>
            <w:gridSpan w:val="16"/>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Nine Months Ended September 30, 2025</w:t>
            </w:r>
          </w:p>
        </w:tc>
      </w:tr>
      <w:tr>
        <w:tc>
          <w:tcPr>
            <w:tcW w:w="2820"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206" w:type="dxa"/>
            <w:tcBorders/>
            <w:vAlign w:val="center"/>
          </w:tcPr>
          <w:p>
            <w:pPr>
              <w:pStyle w:val="TableContents"/>
              <w:bidi w:val="0"/>
              <w:spacing w:lineRule="auto" w:line="285" w:before="0" w:after="0"/>
              <w:ind w:left="0" w:right="0" w:hanging="0"/>
              <w:jc w:val="center"/>
            </w:pPr>
            <w:r>
              <w:t>​</w:t>
            </w:r>
          </w:p>
        </w:tc>
        <w:tc>
          <w:tcPr>
            <w:tcW w:w="365"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19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lineRule="auto" w:line="285" w:before="0" w:after="0"/>
              <w:ind w:left="0" w:right="0" w:hanging="0"/>
              <w:jc w:val="left"/>
            </w:pPr>
            <w:r>
              <w:t>  ​ ​ ​</w:t>
            </w:r>
          </w:p>
        </w:tc>
        <w:tc>
          <w:tcPr>
            <w:tcW w:w="196" w:type="dxa"/>
            <w:tcBorders/>
            <w:vAlign w:val="center"/>
          </w:tcPr>
          <w:p>
            <w:pPr>
              <w:pStyle w:val="TableContents"/>
              <w:bidi w:val="0"/>
              <w:spacing w:lineRule="auto" w:line="285" w:before="0" w:after="0"/>
              <w:ind w:left="0" w:right="0" w:hanging="0"/>
              <w:jc w:val="center"/>
            </w:pPr>
            <w:r>
              <w:t>​</w:t>
            </w:r>
          </w:p>
        </w:tc>
        <w:tc>
          <w:tcPr>
            <w:tcW w:w="77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196" w:type="dxa"/>
            <w:tcBorders/>
            <w:vAlign w:val="center"/>
          </w:tcPr>
          <w:p>
            <w:pPr>
              <w:pStyle w:val="TableContents"/>
              <w:bidi w:val="0"/>
              <w:spacing w:lineRule="auto" w:line="285" w:before="0" w:after="0"/>
              <w:ind w:left="0" w:right="0" w:hanging="0"/>
              <w:jc w:val="center"/>
            </w:pPr>
            <w:r>
              <w:t>​</w:t>
            </w:r>
          </w:p>
        </w:tc>
        <w:tc>
          <w:tcPr>
            <w:tcW w:w="751" w:type="dxa"/>
            <w:tcBorders/>
            <w:vAlign w:val="center"/>
          </w:tcPr>
          <w:p>
            <w:pPr>
              <w:pStyle w:val="TableContents"/>
              <w:bidi w:val="0"/>
              <w:spacing w:lineRule="auto" w:line="285" w:before="0" w:after="0"/>
              <w:ind w:left="0" w:right="0" w:hanging="0"/>
              <w:jc w:val="center"/>
            </w:pPr>
            <w:r>
              <w:t>​</w:t>
            </w:r>
          </w:p>
        </w:tc>
      </w:tr>
      <w:tr>
        <w:tc>
          <w:tcPr>
            <w:tcW w:w="2820"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vAlign w:val="center"/>
          </w:tcPr>
          <w:p>
            <w:pPr>
              <w:pStyle w:val="TableContents"/>
              <w:bidi w:val="0"/>
              <w:spacing w:lineRule="auto" w:line="285" w:before="0" w:after="0"/>
              <w:ind w:left="0" w:right="0" w:hanging="0"/>
              <w:jc w:val="center"/>
            </w:pPr>
            <w:r>
              <w:t>​</w:t>
            </w:r>
          </w:p>
        </w:tc>
        <w:tc>
          <w:tcPr>
            <w:tcW w:w="365"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lineRule="auto" w:line="285" w:before="0" w:after="0"/>
              <w:ind w:left="0" w:right="0" w:hanging="0"/>
              <w:jc w:val="left"/>
            </w:pPr>
            <w:r>
              <w:t>​</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center"/>
            </w:pPr>
            <w:r>
              <w:t>​</w:t>
            </w:r>
          </w:p>
        </w:tc>
        <w:tc>
          <w:tcPr>
            <w:tcW w:w="77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94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c>
          <w:tcPr>
            <w:tcW w:w="2820"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1833"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lineRule="auto" w:line="285" w:before="0" w:after="0"/>
              <w:ind w:left="0" w:right="0" w:hanging="0"/>
              <w:jc w:val="left"/>
            </w:pPr>
            <w: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lineRule="auto" w:line="285" w:before="0" w:after="0"/>
              <w:ind w:left="0" w:right="0" w:hanging="0"/>
              <w:jc w:val="left"/>
            </w:pPr>
            <w:r>
              <w:t>​</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lineRule="auto" w:line="285" w:before="0" w:after="0"/>
              <w:ind w:left="0" w:right="0" w:hanging="0"/>
              <w:jc w:val="left"/>
            </w:pPr>
            <w:r>
              <w:t>​</w:t>
            </w:r>
          </w:p>
        </w:tc>
        <w:tc>
          <w:tcPr>
            <w:tcW w:w="96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lineRule="auto" w:line="285" w:before="0" w:after="0"/>
              <w:ind w:left="0" w:right="0" w:hanging="0"/>
              <w:jc w:val="left"/>
            </w:pPr>
            <w:r>
              <w:t>​</w:t>
            </w:r>
          </w:p>
        </w:tc>
        <w:tc>
          <w:tcPr>
            <w:tcW w:w="94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c>
          <w:tcPr>
            <w:tcW w:w="2820"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lineRule="auto" w:line="285" w:before="0" w:after="0"/>
              <w:ind w:left="0" w:right="0" w:hanging="0"/>
              <w:jc w:val="left"/>
            </w:pPr>
            <w:r>
              <w:t>  ​ ​ ​</w:t>
            </w:r>
          </w:p>
        </w:tc>
        <w:tc>
          <w:tcPr>
            <w:tcW w:w="5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lineRule="auto" w:line="285" w:before="0" w:after="0"/>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lineRule="auto" w:line="285" w:before="0" w:after="0"/>
              <w:ind w:left="0" w:right="0" w:hanging="0"/>
              <w:jc w:val="left"/>
            </w:pPr>
            <w:r>
              <w:t>  ​ ​ ​</w:t>
            </w:r>
          </w:p>
        </w:tc>
        <w:tc>
          <w:tcPr>
            <w:tcW w:w="102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346" w:type="dxa"/>
            <w:tcBorders/>
            <w:vAlign w:val="center"/>
          </w:tcPr>
          <w:p>
            <w:pPr>
              <w:pStyle w:val="TableContents"/>
              <w:bidi w:val="0"/>
              <w:spacing w:lineRule="auto" w:line="285" w:before="0" w:after="0"/>
              <w:ind w:left="0" w:right="0" w:hanging="0"/>
              <w:jc w:val="left"/>
            </w:pPr>
            <w:r>
              <w:t>  ​ ​ ​</w:t>
            </w:r>
          </w:p>
        </w:tc>
        <w:tc>
          <w:tcPr>
            <w:tcW w:w="96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lineRule="auto" w:line="285" w:before="0" w:after="0"/>
              <w:ind w:left="0" w:right="0" w:hanging="0"/>
              <w:jc w:val="left"/>
            </w:pPr>
            <w:r>
              <w:t>  ​ ​ ​</w:t>
            </w:r>
          </w:p>
        </w:tc>
        <w:tc>
          <w:tcPr>
            <w:tcW w:w="9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c>
          <w:tcPr>
            <w:tcW w:w="282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2024</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67,899,779</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430,859</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(1,288)</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(397,010)</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32,568</w:t>
            </w:r>
          </w:p>
        </w:tc>
      </w:tr>
      <w:tr>
        <w:tc>
          <w:tcPr>
            <w:tcW w:w="2820"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Common stock issued upon exercise of stock options</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269,682</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vAlign w:val="center"/>
          </w:tcPr>
          <w:p>
            <w:pPr>
              <w:pStyle w:val="TableContents"/>
              <w:bidi w:val="0"/>
              <w:spacing w:lineRule="auto" w:line="285" w:before="0" w:after="0"/>
              <w:ind w:left="0" w:right="0" w:hanging="0"/>
              <w:jc w:val="left"/>
            </w:pPr>
            <w:r>
              <w:t>​</w:t>
            </w:r>
          </w:p>
        </w:tc>
        <w:tc>
          <w:tcPr>
            <w:tcW w:w="365"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279</w:t>
            </w:r>
          </w:p>
        </w:tc>
        <w:tc>
          <w:tcPr>
            <w:tcW w:w="346" w:type="dxa"/>
            <w:tcBorders/>
            <w:vAlign w:val="center"/>
          </w:tcPr>
          <w:p>
            <w:pPr>
              <w:pStyle w:val="TableContents"/>
              <w:bidi w:val="0"/>
              <w:spacing w:lineRule="auto" w:line="285" w:before="0" w:after="0"/>
              <w:ind w:left="0" w:right="0" w:hanging="0"/>
              <w:jc w:val="left"/>
            </w:pPr>
            <w:r>
              <w:t>​</w:t>
            </w:r>
          </w:p>
        </w:tc>
        <w:tc>
          <w:tcPr>
            <w:tcW w:w="260" w:type="dxa"/>
            <w:tcBorders/>
            <w:vAlign w:val="center"/>
          </w:tcPr>
          <w:p>
            <w:pPr>
              <w:pStyle w:val="TableContents"/>
              <w:bidi w:val="0"/>
              <w:spacing w:lineRule="auto" w:line="285" w:before="0" w:after="0"/>
              <w:ind w:left="0" w:right="0" w:hanging="0"/>
              <w:jc w:val="left"/>
            </w:pPr>
            <w:r>
              <w:t>​</w:t>
            </w:r>
          </w:p>
        </w:tc>
        <w:tc>
          <w:tcPr>
            <w:tcW w:w="76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7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5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279</w:t>
            </w:r>
          </w:p>
        </w:tc>
      </w:tr>
      <w:tr>
        <w:tc>
          <w:tcPr>
            <w:tcW w:w="282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916"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06" w:type="dxa"/>
            <w:tcBorders/>
            <w:shd w:fill="CCEEFF" w:val="clear"/>
            <w:vAlign w:val="center"/>
          </w:tcPr>
          <w:p>
            <w:pPr>
              <w:pStyle w:val="TableContents"/>
              <w:bidi w:val="0"/>
              <w:spacing w:lineRule="auto" w:line="285" w:before="0" w:after="0"/>
              <w:ind w:left="0" w:right="0" w:hanging="0"/>
              <w:jc w:val="left"/>
            </w:pPr>
            <w:r>
              <w:t>​</w:t>
            </w:r>
          </w:p>
        </w:tc>
        <w:tc>
          <w:tcPr>
            <w:tcW w:w="365"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1,251</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0" w:type="dxa"/>
            <w:tcBorders/>
            <w:shd w:fill="CCEEFF" w:val="clear"/>
            <w:vAlign w:val="center"/>
          </w:tcPr>
          <w:p>
            <w:pPr>
              <w:pStyle w:val="TableContents"/>
              <w:bidi w:val="0"/>
              <w:spacing w:lineRule="auto" w:line="285" w:before="0" w:after="0"/>
              <w:ind w:left="0" w:right="0" w:hanging="0"/>
              <w:jc w:val="left"/>
            </w:pPr>
            <w:r>
              <w:t>​</w:t>
            </w:r>
          </w:p>
        </w:tc>
        <w:tc>
          <w:tcPr>
            <w:tcW w:w="76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7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1,251</w:t>
            </w:r>
          </w:p>
        </w:tc>
      </w:tr>
      <w:tr>
        <w:tc>
          <w:tcPr>
            <w:tcW w:w="2820"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Unrealized loss on marketable securities</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vAlign w:val="center"/>
          </w:tcPr>
          <w:p>
            <w:pPr>
              <w:pStyle w:val="TableContents"/>
              <w:bidi w:val="0"/>
              <w:spacing w:lineRule="auto" w:line="285" w:before="0" w:after="0"/>
              <w:ind w:left="0" w:right="0" w:hanging="0"/>
              <w:jc w:val="left"/>
            </w:pPr>
            <w:r>
              <w:t>​</w:t>
            </w:r>
          </w:p>
        </w:tc>
        <w:tc>
          <w:tcPr>
            <w:tcW w:w="365"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69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60" w:type="dxa"/>
            <w:tcBorders/>
            <w:vAlign w:val="center"/>
          </w:tcPr>
          <w:p>
            <w:pPr>
              <w:pStyle w:val="TableContents"/>
              <w:bidi w:val="0"/>
              <w:spacing w:lineRule="auto" w:line="285" w:before="0" w:after="0"/>
              <w:ind w:left="0" w:right="0" w:hanging="0"/>
              <w:jc w:val="left"/>
            </w:pPr>
            <w:r>
              <w:t>​</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7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5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w:t>
            </w:r>
          </w:p>
        </w:tc>
      </w:tr>
      <w:tr>
        <w:tc>
          <w:tcPr>
            <w:tcW w:w="282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916"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06" w:type="dxa"/>
            <w:tcBorders/>
            <w:shd w:fill="CCEEFF" w:val="clear"/>
            <w:vAlign w:val="center"/>
          </w:tcPr>
          <w:p>
            <w:pPr>
              <w:pStyle w:val="TableContents"/>
              <w:bidi w:val="0"/>
              <w:spacing w:lineRule="auto" w:line="285" w:before="0" w:after="0"/>
              <w:ind w:left="0" w:right="0" w:hanging="0"/>
              <w:jc w:val="left"/>
            </w:pPr>
            <w:r>
              <w:t>​</w:t>
            </w:r>
          </w:p>
        </w:tc>
        <w:tc>
          <w:tcPr>
            <w:tcW w:w="365"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69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0" w:type="dxa"/>
            <w:tcBorders/>
            <w:shd w:fill="CCEEFF" w:val="clear"/>
            <w:vAlign w:val="center"/>
          </w:tcPr>
          <w:p>
            <w:pPr>
              <w:pStyle w:val="TableContents"/>
              <w:bidi w:val="0"/>
              <w:spacing w:lineRule="auto" w:line="285" w:before="0" w:after="0"/>
              <w:ind w:left="0" w:right="0" w:hanging="0"/>
              <w:jc w:val="left"/>
            </w:pPr>
            <w:r>
              <w:t>​</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7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57</w:t>
            </w:r>
          </w:p>
        </w:tc>
      </w:tr>
      <w:tr>
        <w:tc>
          <w:tcPr>
            <w:tcW w:w="2820"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15,193</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15,193</w:t>
            </w:r>
          </w:p>
        </w:tc>
      </w:tr>
      <w:tr>
        <w:tc>
          <w:tcPr>
            <w:tcW w:w="282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Balance at March 31, 2025</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9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68,169,461</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0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432,389</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(1,254)</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(381,817)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49,325</w:t>
            </w:r>
          </w:p>
        </w:tc>
      </w:tr>
      <w:tr>
        <w:tc>
          <w:tcPr>
            <w:tcW w:w="2820"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upon exercise of common stock warrants</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6,330,578</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vAlign w:val="center"/>
          </w:tcPr>
          <w:p>
            <w:pPr>
              <w:pStyle w:val="TableContents"/>
              <w:bidi w:val="0"/>
              <w:spacing w:lineRule="auto" w:line="285" w:before="0" w:after="0"/>
              <w:ind w:left="0" w:right="0" w:hanging="0"/>
              <w:jc w:val="left"/>
            </w:pPr>
            <w:r>
              <w:t>​</w:t>
            </w:r>
          </w:p>
        </w:tc>
        <w:tc>
          <w:tcPr>
            <w:tcW w:w="365"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23,053</w:t>
            </w:r>
          </w:p>
        </w:tc>
        <w:tc>
          <w:tcPr>
            <w:tcW w:w="346" w:type="dxa"/>
            <w:tcBorders/>
            <w:vAlign w:val="center"/>
          </w:tcPr>
          <w:p>
            <w:pPr>
              <w:pStyle w:val="TableContents"/>
              <w:bidi w:val="0"/>
              <w:spacing w:lineRule="auto" w:line="285" w:before="0" w:after="0"/>
              <w:ind w:left="0" w:right="0" w:hanging="0"/>
              <w:jc w:val="left"/>
            </w:pPr>
            <w:r>
              <w:t>​</w:t>
            </w:r>
          </w:p>
        </w:tc>
        <w:tc>
          <w:tcPr>
            <w:tcW w:w="260" w:type="dxa"/>
            <w:tcBorders/>
            <w:vAlign w:val="center"/>
          </w:tcPr>
          <w:p>
            <w:pPr>
              <w:pStyle w:val="TableContents"/>
              <w:bidi w:val="0"/>
              <w:spacing w:lineRule="auto" w:line="285" w:before="0" w:after="0"/>
              <w:ind w:left="0" w:right="0" w:hanging="0"/>
              <w:jc w:val="left"/>
            </w:pPr>
            <w:r>
              <w:t>​</w:t>
            </w:r>
          </w:p>
        </w:tc>
        <w:tc>
          <w:tcPr>
            <w:tcW w:w="76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7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5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23,053</w:t>
            </w:r>
          </w:p>
        </w:tc>
      </w:tr>
      <w:tr>
        <w:tc>
          <w:tcPr>
            <w:tcW w:w="282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Issuance of pre-funded warrants upon exercise of common stock warrants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916"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06" w:type="dxa"/>
            <w:tcBorders/>
            <w:shd w:fill="CCEEFF" w:val="clear"/>
            <w:vAlign w:val="center"/>
          </w:tcPr>
          <w:p>
            <w:pPr>
              <w:pStyle w:val="TableContents"/>
              <w:bidi w:val="0"/>
              <w:spacing w:lineRule="auto" w:line="285" w:before="0" w:after="0"/>
              <w:ind w:left="0" w:right="0" w:hanging="0"/>
              <w:jc w:val="left"/>
            </w:pPr>
            <w:r>
              <w:t>​</w:t>
            </w:r>
          </w:p>
        </w:tc>
        <w:tc>
          <w:tcPr>
            <w:tcW w:w="365"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14,461</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0" w:type="dxa"/>
            <w:tcBorders/>
            <w:shd w:fill="CCEEFF" w:val="clear"/>
            <w:vAlign w:val="center"/>
          </w:tcPr>
          <w:p>
            <w:pPr>
              <w:pStyle w:val="TableContents"/>
              <w:bidi w:val="0"/>
              <w:spacing w:lineRule="auto" w:line="285" w:before="0" w:after="0"/>
              <w:ind w:left="0" w:right="0" w:hanging="0"/>
              <w:jc w:val="left"/>
            </w:pPr>
            <w:r>
              <w:t>​</w:t>
            </w:r>
          </w:p>
        </w:tc>
        <w:tc>
          <w:tcPr>
            <w:tcW w:w="76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7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14,461</w:t>
            </w:r>
          </w:p>
        </w:tc>
      </w:tr>
      <w:tr>
        <w:tc>
          <w:tcPr>
            <w:tcW w:w="2820"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Common stock issued upon exercise of stock options</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14,000</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vAlign w:val="center"/>
          </w:tcPr>
          <w:p>
            <w:pPr>
              <w:pStyle w:val="TableContents"/>
              <w:bidi w:val="0"/>
              <w:spacing w:lineRule="auto" w:line="285" w:before="0" w:after="0"/>
              <w:ind w:left="0" w:right="0" w:hanging="0"/>
              <w:jc w:val="left"/>
            </w:pPr>
            <w:r>
              <w:t>​</w:t>
            </w:r>
          </w:p>
        </w:tc>
        <w:tc>
          <w:tcPr>
            <w:tcW w:w="365"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346" w:type="dxa"/>
            <w:tcBorders/>
            <w:vAlign w:val="center"/>
          </w:tcPr>
          <w:p>
            <w:pPr>
              <w:pStyle w:val="TableContents"/>
              <w:bidi w:val="0"/>
              <w:spacing w:lineRule="auto" w:line="285" w:before="0" w:after="0"/>
              <w:ind w:left="0" w:right="0" w:hanging="0"/>
              <w:jc w:val="left"/>
            </w:pPr>
            <w:r>
              <w:t>​</w:t>
            </w:r>
          </w:p>
        </w:tc>
        <w:tc>
          <w:tcPr>
            <w:tcW w:w="260" w:type="dxa"/>
            <w:tcBorders/>
            <w:vAlign w:val="center"/>
          </w:tcPr>
          <w:p>
            <w:pPr>
              <w:pStyle w:val="TableContents"/>
              <w:bidi w:val="0"/>
              <w:spacing w:lineRule="auto" w:line="285" w:before="0" w:after="0"/>
              <w:ind w:left="0" w:right="0" w:hanging="0"/>
              <w:jc w:val="left"/>
            </w:pPr>
            <w:r>
              <w:t>​</w:t>
            </w:r>
          </w:p>
        </w:tc>
        <w:tc>
          <w:tcPr>
            <w:tcW w:w="76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7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5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25</w:t>
            </w:r>
          </w:p>
        </w:tc>
      </w:tr>
      <w:tr>
        <w:tc>
          <w:tcPr>
            <w:tcW w:w="282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916"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06" w:type="dxa"/>
            <w:tcBorders/>
            <w:shd w:fill="CCEEFF" w:val="clear"/>
            <w:vAlign w:val="center"/>
          </w:tcPr>
          <w:p>
            <w:pPr>
              <w:pStyle w:val="TableContents"/>
              <w:bidi w:val="0"/>
              <w:spacing w:lineRule="auto" w:line="285" w:before="0" w:after="0"/>
              <w:ind w:left="0" w:right="0" w:hanging="0"/>
              <w:jc w:val="left"/>
            </w:pPr>
            <w:r>
              <w:t>​</w:t>
            </w:r>
          </w:p>
        </w:tc>
        <w:tc>
          <w:tcPr>
            <w:tcW w:w="365"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1,256</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0" w:type="dxa"/>
            <w:tcBorders/>
            <w:shd w:fill="CCEEFF" w:val="clear"/>
            <w:vAlign w:val="center"/>
          </w:tcPr>
          <w:p>
            <w:pPr>
              <w:pStyle w:val="TableContents"/>
              <w:bidi w:val="0"/>
              <w:spacing w:lineRule="auto" w:line="285" w:before="0" w:after="0"/>
              <w:ind w:left="0" w:right="0" w:hanging="0"/>
              <w:jc w:val="left"/>
            </w:pPr>
            <w:r>
              <w:t>​</w:t>
            </w:r>
          </w:p>
        </w:tc>
        <w:tc>
          <w:tcPr>
            <w:tcW w:w="76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7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1,256</w:t>
            </w:r>
          </w:p>
        </w:tc>
      </w:tr>
      <w:tr>
        <w:tc>
          <w:tcPr>
            <w:tcW w:w="2820"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Unrealized loss on marketable securities</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vAlign w:val="center"/>
          </w:tcPr>
          <w:p>
            <w:pPr>
              <w:pStyle w:val="TableContents"/>
              <w:bidi w:val="0"/>
              <w:spacing w:lineRule="auto" w:line="285" w:before="0" w:after="0"/>
              <w:ind w:left="0" w:right="0" w:hanging="0"/>
              <w:jc w:val="left"/>
            </w:pPr>
            <w:r>
              <w:t>​</w:t>
            </w:r>
          </w:p>
        </w:tc>
        <w:tc>
          <w:tcPr>
            <w:tcW w:w="365"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69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60" w:type="dxa"/>
            <w:tcBorders/>
            <w:vAlign w:val="center"/>
          </w:tcPr>
          <w:p>
            <w:pPr>
              <w:pStyle w:val="TableContents"/>
              <w:bidi w:val="0"/>
              <w:spacing w:lineRule="auto" w:line="285" w:before="0" w:after="0"/>
              <w:ind w:left="0" w:right="0" w:hanging="0"/>
              <w:jc w:val="left"/>
            </w:pPr>
            <w:r>
              <w:t>​</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7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5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w:t>
            </w:r>
          </w:p>
        </w:tc>
      </w:tr>
      <w:tr>
        <w:tc>
          <w:tcPr>
            <w:tcW w:w="282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916"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06" w:type="dxa"/>
            <w:tcBorders/>
            <w:shd w:fill="CCEEFF" w:val="clear"/>
            <w:vAlign w:val="center"/>
          </w:tcPr>
          <w:p>
            <w:pPr>
              <w:pStyle w:val="TableContents"/>
              <w:bidi w:val="0"/>
              <w:spacing w:lineRule="auto" w:line="285" w:before="0" w:after="0"/>
              <w:ind w:left="0" w:right="0" w:hanging="0"/>
              <w:jc w:val="left"/>
            </w:pPr>
            <w:r>
              <w:t>​</w:t>
            </w:r>
          </w:p>
        </w:tc>
        <w:tc>
          <w:tcPr>
            <w:tcW w:w="365"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69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0" w:type="dxa"/>
            <w:tcBorders/>
            <w:shd w:fill="CCEEFF" w:val="clear"/>
            <w:vAlign w:val="center"/>
          </w:tcPr>
          <w:p>
            <w:pPr>
              <w:pStyle w:val="TableContents"/>
              <w:bidi w:val="0"/>
              <w:spacing w:lineRule="auto" w:line="285" w:before="0" w:after="0"/>
              <w:ind w:left="0" w:right="0" w:hanging="0"/>
              <w:jc w:val="left"/>
            </w:pPr>
            <w:r>
              <w:t>​</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125</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7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125</w:t>
            </w:r>
          </w:p>
        </w:tc>
      </w:tr>
      <w:tr>
        <w:tc>
          <w:tcPr>
            <w:tcW w:w="2820"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(7,998)</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(7,998)</w:t>
            </w:r>
          </w:p>
        </w:tc>
      </w:tr>
      <w:tr>
        <w:tc>
          <w:tcPr>
            <w:tcW w:w="282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Balance at June 30, 2025</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9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74,514,039</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0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471,184</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(1,148)</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(389,815)</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80,228</w:t>
            </w:r>
          </w:p>
        </w:tc>
      </w:tr>
      <w:tr>
        <w:tc>
          <w:tcPr>
            <w:tcW w:w="2820"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Common stock issued on exercise of stock options</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167,833</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vAlign w:val="center"/>
          </w:tcPr>
          <w:p>
            <w:pPr>
              <w:pStyle w:val="TableContents"/>
              <w:bidi w:val="0"/>
              <w:spacing w:lineRule="auto" w:line="285" w:before="0" w:after="0"/>
              <w:ind w:left="0" w:right="0" w:hanging="0"/>
              <w:jc w:val="left"/>
            </w:pPr>
            <w:r>
              <w:t>​</w:t>
            </w:r>
          </w:p>
        </w:tc>
        <w:tc>
          <w:tcPr>
            <w:tcW w:w="365"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360</w:t>
            </w:r>
          </w:p>
        </w:tc>
        <w:tc>
          <w:tcPr>
            <w:tcW w:w="346" w:type="dxa"/>
            <w:tcBorders/>
            <w:vAlign w:val="center"/>
          </w:tcPr>
          <w:p>
            <w:pPr>
              <w:pStyle w:val="TableContents"/>
              <w:bidi w:val="0"/>
              <w:spacing w:lineRule="auto" w:line="285" w:before="0" w:after="0"/>
              <w:ind w:left="0" w:right="0" w:hanging="0"/>
              <w:jc w:val="left"/>
            </w:pPr>
            <w:r>
              <w:t>​</w:t>
            </w:r>
          </w:p>
        </w:tc>
        <w:tc>
          <w:tcPr>
            <w:tcW w:w="260" w:type="dxa"/>
            <w:tcBorders/>
            <w:vAlign w:val="center"/>
          </w:tcPr>
          <w:p>
            <w:pPr>
              <w:pStyle w:val="TableContents"/>
              <w:bidi w:val="0"/>
              <w:spacing w:lineRule="auto" w:line="285" w:before="0" w:after="0"/>
              <w:ind w:left="0" w:right="0" w:hanging="0"/>
              <w:jc w:val="left"/>
            </w:pPr>
            <w:r>
              <w:t>​</w:t>
            </w:r>
          </w:p>
        </w:tc>
        <w:tc>
          <w:tcPr>
            <w:tcW w:w="76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7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5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360</w:t>
            </w:r>
          </w:p>
        </w:tc>
      </w:tr>
      <w:tr>
        <w:tc>
          <w:tcPr>
            <w:tcW w:w="282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916"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06" w:type="dxa"/>
            <w:tcBorders/>
            <w:shd w:fill="CCEEFF" w:val="clear"/>
            <w:vAlign w:val="center"/>
          </w:tcPr>
          <w:p>
            <w:pPr>
              <w:pStyle w:val="TableContents"/>
              <w:bidi w:val="0"/>
              <w:spacing w:lineRule="auto" w:line="285" w:before="0" w:after="0"/>
              <w:ind w:left="0" w:right="0" w:hanging="0"/>
              <w:jc w:val="left"/>
            </w:pPr>
            <w:r>
              <w:t>​</w:t>
            </w:r>
          </w:p>
        </w:tc>
        <w:tc>
          <w:tcPr>
            <w:tcW w:w="365"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1,249</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0" w:type="dxa"/>
            <w:tcBorders/>
            <w:shd w:fill="CCEEFF" w:val="clear"/>
            <w:vAlign w:val="center"/>
          </w:tcPr>
          <w:p>
            <w:pPr>
              <w:pStyle w:val="TableContents"/>
              <w:bidi w:val="0"/>
              <w:spacing w:lineRule="auto" w:line="285" w:before="0" w:after="0"/>
              <w:ind w:left="0" w:right="0" w:hanging="0"/>
              <w:jc w:val="left"/>
            </w:pPr>
            <w:r>
              <w:t>​</w:t>
            </w:r>
          </w:p>
        </w:tc>
        <w:tc>
          <w:tcPr>
            <w:tcW w:w="76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7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1,249</w:t>
            </w:r>
          </w:p>
        </w:tc>
      </w:tr>
      <w:tr>
        <w:tc>
          <w:tcPr>
            <w:tcW w:w="2820"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Unrealized gain on marketable securities</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vAlign w:val="center"/>
          </w:tcPr>
          <w:p>
            <w:pPr>
              <w:pStyle w:val="TableContents"/>
              <w:bidi w:val="0"/>
              <w:spacing w:lineRule="auto" w:line="285" w:before="0" w:after="0"/>
              <w:ind w:left="0" w:right="0" w:hanging="0"/>
              <w:jc w:val="left"/>
            </w:pPr>
            <w:r>
              <w:t>​</w:t>
            </w:r>
          </w:p>
        </w:tc>
        <w:tc>
          <w:tcPr>
            <w:tcW w:w="365"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69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60" w:type="dxa"/>
            <w:tcBorders/>
            <w:vAlign w:val="center"/>
          </w:tcPr>
          <w:p>
            <w:pPr>
              <w:pStyle w:val="TableContents"/>
              <w:bidi w:val="0"/>
              <w:spacing w:lineRule="auto" w:line="285" w:before="0" w:after="0"/>
              <w:ind w:left="0" w:right="0" w:hanging="0"/>
              <w:jc w:val="left"/>
            </w:pPr>
            <w:r>
              <w:t>​</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7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vAlign w:val="center"/>
          </w:tcPr>
          <w:p>
            <w:pPr>
              <w:pStyle w:val="TableContents"/>
              <w:bidi w:val="0"/>
              <w:spacing w:lineRule="auto" w:line="285" w:before="0" w:after="0"/>
              <w:ind w:left="0" w:right="0" w:hanging="0"/>
              <w:jc w:val="left"/>
            </w:pPr>
            <w:r>
              <w:t>​</w:t>
            </w:r>
          </w:p>
        </w:tc>
        <w:tc>
          <w:tcPr>
            <w:tcW w:w="75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w:t>
            </w:r>
          </w:p>
        </w:tc>
      </w:tr>
      <w:tr>
        <w:tc>
          <w:tcPr>
            <w:tcW w:w="282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916"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06" w:type="dxa"/>
            <w:tcBorders/>
            <w:shd w:fill="CCEEFF" w:val="clear"/>
            <w:vAlign w:val="center"/>
          </w:tcPr>
          <w:p>
            <w:pPr>
              <w:pStyle w:val="TableContents"/>
              <w:bidi w:val="0"/>
              <w:spacing w:lineRule="auto" w:line="285" w:before="0" w:after="0"/>
              <w:ind w:left="0" w:right="0" w:hanging="0"/>
              <w:jc w:val="left"/>
            </w:pPr>
            <w:r>
              <w:t>​</w:t>
            </w:r>
          </w:p>
        </w:tc>
        <w:tc>
          <w:tcPr>
            <w:tcW w:w="365"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69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0" w:type="dxa"/>
            <w:tcBorders/>
            <w:shd w:fill="CCEEFF" w:val="clear"/>
            <w:vAlign w:val="center"/>
          </w:tcPr>
          <w:p>
            <w:pPr>
              <w:pStyle w:val="TableContents"/>
              <w:bidi w:val="0"/>
              <w:spacing w:lineRule="auto" w:line="285" w:before="0" w:after="0"/>
              <w:ind w:left="0" w:right="0" w:hanging="0"/>
              <w:jc w:val="left"/>
            </w:pPr>
            <w:r>
              <w:t>​</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59</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7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shd w:fill="CCEEFF" w:val="clear"/>
            <w:vAlign w:val="center"/>
          </w:tcPr>
          <w:p>
            <w:pPr>
              <w:pStyle w:val="TableContents"/>
              <w:bidi w:val="0"/>
              <w:spacing w:lineRule="auto" w:line="285" w:before="0" w:after="0"/>
              <w:ind w:left="0" w:right="0" w:hanging="0"/>
              <w:jc w:val="left"/>
            </w:pPr>
            <w:r>
              <w:t>​</w:t>
            </w:r>
          </w:p>
        </w:tc>
        <w:tc>
          <w:tcPr>
            <w:tcW w:w="7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59</w:t>
            </w:r>
          </w:p>
        </w:tc>
      </w:tr>
      <w:tr>
        <w:tc>
          <w:tcPr>
            <w:tcW w:w="2820"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lineRule="auto" w:line="285" w:before="0" w:after="0"/>
              <w:ind w:left="0" w:right="0" w:hanging="0"/>
              <w:jc w:val="left"/>
            </w:pPr>
            <w: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06"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(10,157)</w:t>
            </w:r>
          </w:p>
        </w:tc>
        <w:tc>
          <w:tcPr>
            <w:tcW w:w="346" w:type="dxa"/>
            <w:tcBorders/>
            <w:vAlign w:val="center"/>
          </w:tcPr>
          <w:p>
            <w:pPr>
              <w:pStyle w:val="TableContents"/>
              <w:bidi w:val="0"/>
              <w:spacing w:lineRule="auto" w:line="285"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(10,157)</w:t>
            </w:r>
          </w:p>
        </w:tc>
      </w:tr>
      <w:tr>
        <w:tc>
          <w:tcPr>
            <w:tcW w:w="282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Balance at September 30, 2025</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9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74,681,872</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0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472,793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(1,060)</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(399,972)</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6"/>
              </w:rPr>
            </w:pPr>
            <w:r>
              <w:rPr>
                <w:rFonts w:ascii="Times New Roman;Times;serif" w:hAnsi="Times New Roman;Times;serif"/>
                <w:sz w:val="16"/>
              </w:rPr>
              <w:t>71,768</w:t>
            </w:r>
          </w:p>
        </w:tc>
      </w:tr>
    </w:tbl>
    <w:p>
      <w:pPr>
        <w:pStyle w:val="TextBody"/>
        <w:bidi w:val="0"/>
        <w:spacing w:lineRule="auto" w:line="285" w:before="0" w:after="0"/>
        <w:ind w:left="0" w:right="0" w:hanging="0"/>
        <w:jc w:val="center"/>
      </w:pPr>
      <w: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lineRule="auto" w:line="285" w:before="0" w:after="0"/>
        <w:ind w:left="0" w:right="0" w:hanging="0"/>
        <w:jc w:val="left"/>
      </w:pPr>
      <w: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center"/>
        <w:rPr>
          <w:rFonts w:ascii="Times New Roman;Times;serif" w:hAnsi="Times New Roman;Times;serif"/>
          <w:b/>
          <w:sz w:val="20"/>
        </w:rPr>
      </w:pPr>
      <w:bookmarkStart w:id="703" w:name="_da68284a_f473_4cd9_8913_58da8fe399b1"/>
      <w:bookmarkEnd w:id="703"/>
      <w:r>
        <w:rPr>
          <w:rFonts w:ascii="Times New Roman;Times;serif" w:hAnsi="Times New Roman;Times;serif"/>
          <w:b/>
          <w:sz w:val="20"/>
        </w:rPr>
        <w:t>CORVUS PHARMACEUTICALS, INC.</w:t>
      </w:r>
    </w:p>
    <w:p>
      <w:pPr>
        <w:pStyle w:val="TextBody"/>
        <w:bidi w:val="0"/>
        <w:spacing w:lineRule="auto" w:line="285" w:before="0" w:after="0"/>
        <w:ind w:left="0" w:right="0" w:hanging="0"/>
        <w:jc w:val="center"/>
        <w:rPr>
          <w:rFonts w:ascii="Times New Roman;Times;serif" w:hAnsi="Times New Roman;Times;serif"/>
          <w:b/>
          <w:sz w:val="20"/>
        </w:rPr>
      </w:pPr>
      <w:bookmarkStart w:id="704" w:name="STATEMENTSOFCASHFLOWS_192557"/>
      <w:bookmarkEnd w:id="704"/>
      <w:r>
        <w:rPr>
          <w:rFonts w:ascii="Times New Roman;Times;serif" w:hAnsi="Times New Roman;Times;serif"/>
          <w:b/>
          <w:sz w:val="20"/>
        </w:rPr>
        <w:t>CONDENSED CONSOLIDATED STATEMENTS OF CASH FLOWS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285" w:before="0" w:after="0"/>
        <w:ind w:left="0" w:right="0" w:hanging="0"/>
        <w:jc w:val="center"/>
      </w:pPr>
      <w:r>
        <w:t>​</w:t>
      </w:r>
    </w:p>
    <w:p>
      <w:pPr>
        <w:pStyle w:val="Normal"/>
        <w:bidi w:val="0"/>
        <w:spacing w:before="0" w:after="0"/>
        <w:jc w:val="left"/>
        <w:rPr>
          <w:sz w:val="4"/>
          <w:szCs w:val="4"/>
        </w:rPr>
      </w:pPr>
      <w:r>
        <w:rPr>
          <w:sz w:val="4"/>
          <w:szCs w:val="4"/>
        </w:rPr>
      </w:r>
      <w:bookmarkStart w:id="705" w:name="Tc_2Myw4nAwe0S0fQ0TGYPEzw_34_5"/>
      <w:bookmarkStart w:id="706" w:name="Tc_KXUfJjkhBUm7xYCNzN5XJw_34_2"/>
      <w:bookmarkStart w:id="707" w:name="Tc_EF6cuqBPsEOXL-x-V1GDSQ_34_0"/>
      <w:bookmarkStart w:id="708" w:name="Tc_aoJuzDlv7E67ylp6kQN_dw_33_0"/>
      <w:bookmarkStart w:id="709" w:name="Tc_b72wT2JbBUWpGHSsvwdCuQ_32_0"/>
      <w:bookmarkStart w:id="710" w:name="Tc_xNBfEDay2k6cckJDg3G-kQ_31_0"/>
      <w:bookmarkStart w:id="711" w:name="Tc_d-N1qwQ4T0mNxz_ApjIrwQ_30_0"/>
      <w:bookmarkStart w:id="712" w:name="Tc_3YAY3Aq0sUObu9BqM8ccog_29_3"/>
      <w:bookmarkStart w:id="713" w:name="Tc_JQKeSvZ9OUyDR_566Im-6w_29_0"/>
      <w:bookmarkStart w:id="714" w:name="Tc_9Q5beTFyF0iZrFMG_80G1w_28_6"/>
      <w:bookmarkStart w:id="715" w:name="Tc_Bbg6ayNc-0qLIWXqqdDUjw_28_0"/>
      <w:bookmarkStart w:id="716" w:name="Tc_leXOf-84dEanDm9LSIUdeQ_27_0"/>
      <w:bookmarkStart w:id="717" w:name="Tc_KEebSSe0skWfk3_Uug3Efg_26_0"/>
      <w:bookmarkStart w:id="718" w:name="Tc_MQ9E7C0UjU6-BCNQOxzwhg_25_6"/>
      <w:bookmarkStart w:id="719" w:name="Tc_1IXDGf7VMku9UHJbVDBpgA_25_0"/>
      <w:bookmarkStart w:id="720" w:name="Tc_F2EMCVDFAk6KAmB0brvirg_24_0"/>
      <w:bookmarkStart w:id="721" w:name="Tc_VRIBhfS_xECzPft0wrxiNA_23_0"/>
      <w:bookmarkStart w:id="722" w:name="Tc_-HkgJ7FQKECof1j6K0iWyA_22_0"/>
      <w:bookmarkStart w:id="723" w:name="Tc_piHYzL_Kl0GHaaEq7COVrQ_21_0"/>
      <w:bookmarkStart w:id="724" w:name="Tc_otfJxT3IBEWamTWe8XtgHQ_20_0"/>
      <w:bookmarkStart w:id="725" w:name="Tc_iBQ39Uxq7UGmuq01tXy9MQ_19_0"/>
      <w:bookmarkStart w:id="726" w:name="Tc_RZDEbxbq2ESiCMpvqAsW7A_18_0"/>
      <w:bookmarkStart w:id="727" w:name="Tc_tcvwWvb08Uu7OfS5IEcuAQ_17_0"/>
      <w:bookmarkStart w:id="728" w:name="Tc_8MsgSeeR5kuy34_WgfuhDw_16_0"/>
      <w:bookmarkStart w:id="729" w:name="Tc_wZdql5_4jE2QhcmC-E6t8w_15_0"/>
      <w:bookmarkStart w:id="730" w:name="Tc_tvAJ6FiVmEmzmJYg9xQYaQ_14_0"/>
      <w:bookmarkStart w:id="731" w:name="Tc_OlP9c6bEQkySqBxvAzzNIg_13_0"/>
      <w:bookmarkStart w:id="732" w:name="Tc_V9n3OakXHkG2IAlNmm4phw_12_0"/>
      <w:bookmarkStart w:id="733" w:name="Tc_Vn_ZrcSHfEeib2xANxg7qg_11_0"/>
      <w:bookmarkStart w:id="734" w:name="Tc_HOWlTN16DkSCN90dFWCfRA_10_3"/>
      <w:bookmarkStart w:id="735" w:name="Tc_eOJPT6eghkG1ak6Tcs8siQ_10_0"/>
      <w:bookmarkStart w:id="736" w:name="Tc_trYzzPO3mUq4Nfb9M5BzFg_9_0"/>
      <w:bookmarkStart w:id="737" w:name="Tc__U86c7ywd0CPNEctveJrRQ_8_0"/>
      <w:bookmarkStart w:id="738" w:name="Tc_61qExQWGnUyXJlX6TECxwA_7_0"/>
      <w:bookmarkStart w:id="739" w:name="Tc_q_2-d-_vyEqEZ4e1zPolQg_6_0"/>
      <w:bookmarkStart w:id="740" w:name="Tc_lwD6REdMs0WUWlI4dQUqIA_5_5"/>
      <w:bookmarkStart w:id="741" w:name="Tc_awPNYTePkUGlAcs109A_0g_5_2"/>
      <w:bookmarkStart w:id="742" w:name="Tc_SvVnmEZ5YEuZKngEjOenmg_5_0"/>
      <w:bookmarkStart w:id="743" w:name="Tc_ZmZveLD1D0KsjLE6JbZw4w_4_0"/>
      <w:bookmarkStart w:id="744" w:name="Tc_anR4im0yi0-r-U3dRn52yQ_3_5"/>
      <w:bookmarkStart w:id="745" w:name="Tc_pymU4H13-kqGP-dKGzc2JQ_3_2"/>
      <w:bookmarkStart w:id="746" w:name="Tc_vyj89a_d1ESz11DBE7QFXA_2_2"/>
      <w:bookmarkStart w:id="747" w:name="Tc_3yGm01WTUEO14_0x5Ms-XQ_1_2"/>
      <w:bookmarkStart w:id="748" w:name="_4e03dd47_c1b4_4373_940b_d9bcff330daf"/>
      <w:bookmarkStart w:id="749" w:name="Tc_2Myw4nAwe0S0fQ0TGYPEzw_34_5"/>
      <w:bookmarkStart w:id="750" w:name="Tc_KXUfJjkhBUm7xYCNzN5XJw_34_2"/>
      <w:bookmarkStart w:id="751" w:name="Tc_EF6cuqBPsEOXL-x-V1GDSQ_34_0"/>
      <w:bookmarkStart w:id="752" w:name="Tc_aoJuzDlv7E67ylp6kQN_dw_33_0"/>
      <w:bookmarkStart w:id="753" w:name="Tc_b72wT2JbBUWpGHSsvwdCuQ_32_0"/>
      <w:bookmarkStart w:id="754" w:name="Tc_xNBfEDay2k6cckJDg3G-kQ_31_0"/>
      <w:bookmarkStart w:id="755" w:name="Tc_d-N1qwQ4T0mNxz_ApjIrwQ_30_0"/>
      <w:bookmarkStart w:id="756" w:name="Tc_3YAY3Aq0sUObu9BqM8ccog_29_3"/>
      <w:bookmarkStart w:id="757" w:name="Tc_JQKeSvZ9OUyDR_566Im-6w_29_0"/>
      <w:bookmarkStart w:id="758" w:name="Tc_9Q5beTFyF0iZrFMG_80G1w_28_6"/>
      <w:bookmarkStart w:id="759" w:name="Tc_Bbg6ayNc-0qLIWXqqdDUjw_28_0"/>
      <w:bookmarkStart w:id="760" w:name="Tc_leXOf-84dEanDm9LSIUdeQ_27_0"/>
      <w:bookmarkStart w:id="761" w:name="Tc_KEebSSe0skWfk3_Uug3Efg_26_0"/>
      <w:bookmarkStart w:id="762" w:name="Tc_MQ9E7C0UjU6-BCNQOxzwhg_25_6"/>
      <w:bookmarkStart w:id="763" w:name="Tc_1IXDGf7VMku9UHJbVDBpgA_25_0"/>
      <w:bookmarkStart w:id="764" w:name="Tc_F2EMCVDFAk6KAmB0brvirg_24_0"/>
      <w:bookmarkStart w:id="765" w:name="Tc_VRIBhfS_xECzPft0wrxiNA_23_0"/>
      <w:bookmarkStart w:id="766" w:name="Tc_-HkgJ7FQKECof1j6K0iWyA_22_0"/>
      <w:bookmarkStart w:id="767" w:name="Tc_piHYzL_Kl0GHaaEq7COVrQ_21_0"/>
      <w:bookmarkStart w:id="768" w:name="Tc_otfJxT3IBEWamTWe8XtgHQ_20_0"/>
      <w:bookmarkStart w:id="769" w:name="Tc_iBQ39Uxq7UGmuq01tXy9MQ_19_0"/>
      <w:bookmarkStart w:id="770" w:name="Tc_RZDEbxbq2ESiCMpvqAsW7A_18_0"/>
      <w:bookmarkStart w:id="771" w:name="Tc_tcvwWvb08Uu7OfS5IEcuAQ_17_0"/>
      <w:bookmarkStart w:id="772" w:name="Tc_8MsgSeeR5kuy34_WgfuhDw_16_0"/>
      <w:bookmarkStart w:id="773" w:name="Tc_wZdql5_4jE2QhcmC-E6t8w_15_0"/>
      <w:bookmarkStart w:id="774" w:name="Tc_tvAJ6FiVmEmzmJYg9xQYaQ_14_0"/>
      <w:bookmarkStart w:id="775" w:name="Tc_OlP9c6bEQkySqBxvAzzNIg_13_0"/>
      <w:bookmarkStart w:id="776" w:name="Tc_V9n3OakXHkG2IAlNmm4phw_12_0"/>
      <w:bookmarkStart w:id="777" w:name="Tc_Vn_ZrcSHfEeib2xANxg7qg_11_0"/>
      <w:bookmarkStart w:id="778" w:name="Tc_HOWlTN16DkSCN90dFWCfRA_10_3"/>
      <w:bookmarkStart w:id="779" w:name="Tc_eOJPT6eghkG1ak6Tcs8siQ_10_0"/>
      <w:bookmarkStart w:id="780" w:name="Tc_trYzzPO3mUq4Nfb9M5BzFg_9_0"/>
      <w:bookmarkStart w:id="781" w:name="Tc__U86c7ywd0CPNEctveJrRQ_8_0"/>
      <w:bookmarkStart w:id="782" w:name="Tc_61qExQWGnUyXJlX6TECxwA_7_0"/>
      <w:bookmarkStart w:id="783" w:name="Tc_q_2-d-_vyEqEZ4e1zPolQg_6_0"/>
      <w:bookmarkStart w:id="784" w:name="Tc_lwD6REdMs0WUWlI4dQUqIA_5_5"/>
      <w:bookmarkStart w:id="785" w:name="Tc_awPNYTePkUGlAcs109A_0g_5_2"/>
      <w:bookmarkStart w:id="786" w:name="Tc_SvVnmEZ5YEuZKngEjOenmg_5_0"/>
      <w:bookmarkStart w:id="787" w:name="Tc_ZmZveLD1D0KsjLE6JbZw4w_4_0"/>
      <w:bookmarkStart w:id="788" w:name="Tc_anR4im0yi0-r-U3dRn52yQ_3_5"/>
      <w:bookmarkStart w:id="789" w:name="Tc_pymU4H13-kqGP-dKGzc2JQ_3_2"/>
      <w:bookmarkStart w:id="790" w:name="Tc_vyj89a_d1ESz11DBE7QFXA_2_2"/>
      <w:bookmarkStart w:id="791" w:name="Tc_3yGm01WTUEO14_0x5Ms-XQ_1_2"/>
      <w:bookmarkStart w:id="792" w:name="_4e03dd47_c1b4_4373_940b_d9bcff330daf"/>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tbl>
      <w:tblPr>
        <w:tblW w:w="10205" w:type="dxa"/>
        <w:jc w:val="left"/>
        <w:tblInd w:w="0" w:type="dxa"/>
        <w:tblLayout w:type="fixed"/>
        <w:tblCellMar>
          <w:top w:w="0" w:type="dxa"/>
          <w:left w:w="0" w:type="dxa"/>
          <w:bottom w:w="0" w:type="dxa"/>
          <w:right w:w="0" w:type="dxa"/>
        </w:tblCellMar>
      </w:tblPr>
      <w:tblGrid>
        <w:gridCol w:w="7042"/>
        <w:gridCol w:w="346"/>
        <w:gridCol w:w="211"/>
        <w:gridCol w:w="881"/>
        <w:gridCol w:w="346"/>
        <w:gridCol w:w="211"/>
        <w:gridCol w:w="776"/>
        <w:gridCol w:w="392"/>
      </w:tblGrid>
      <w:tr>
        <w:tc>
          <w:tcPr>
            <w:tcW w:w="7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471670" cy="175260"/>
                      <wp:effectExtent l="0" t="0" r="0" b="0"/>
                      <wp:wrapNone/>
                      <wp:docPr id="65" name="Frame65"/>
                      <a:graphic xmlns:a="http://schemas.openxmlformats.org/drawingml/2006/main">
                        <a:graphicData uri="http://schemas.microsoft.com/office/word/2010/wordprocessingShape">
                          <wps:wsp>
                            <wps:cNvSpPr txBox="1"/>
                            <wps:spPr>
                              <a:xfrm>
                                <a:off x="0" y="0"/>
                                <a:ext cx="447167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59435" cy="175260"/>
                      <wp:effectExtent l="0" t="0" r="0" b="0"/>
                      <wp:wrapNone/>
                      <wp:docPr id="68" name="Frame68"/>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92760" cy="175260"/>
                      <wp:effectExtent l="0" t="0" r="0" b="0"/>
                      <wp:wrapNone/>
                      <wp:docPr id="71" name="Frame71"/>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48920" cy="175260"/>
                      <wp:effectExtent l="0" t="0" r="0" b="0"/>
                      <wp:wrapNone/>
                      <wp:docPr id="72" name="Frame72"/>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7042"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242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92" w:type="dxa"/>
            <w:tcBorders/>
            <w:vAlign w:val="center"/>
          </w:tcPr>
          <w:p>
            <w:pPr>
              <w:pStyle w:val="TableContents"/>
              <w:bidi w:val="0"/>
              <w:spacing w:lineRule="auto" w:line="285" w:before="0" w:after="0"/>
              <w:ind w:left="0" w:right="0" w:hanging="0"/>
              <w:jc w:val="left"/>
            </w:pPr>
            <w:r>
              <w:t>​</w:t>
            </w:r>
          </w:p>
        </w:tc>
      </w:tr>
      <w:tr>
        <w:tc>
          <w:tcPr>
            <w:tcW w:w="7042"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242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92" w:type="dxa"/>
            <w:tcBorders/>
            <w:vAlign w:val="center"/>
          </w:tcPr>
          <w:p>
            <w:pPr>
              <w:pStyle w:val="TableContents"/>
              <w:bidi w:val="0"/>
              <w:spacing w:lineRule="auto" w:line="285" w:before="0" w:after="0"/>
              <w:ind w:left="0" w:right="0" w:hanging="0"/>
              <w:jc w:val="left"/>
            </w:pPr>
            <w:r>
              <w:t>​</w:t>
            </w:r>
          </w:p>
        </w:tc>
      </w:tr>
      <w:tr>
        <w:tc>
          <w:tcPr>
            <w:tcW w:w="7042"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10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pPr>
            <w:r>
              <w:t>  ​ ​ ​</w:t>
            </w:r>
          </w:p>
        </w:tc>
        <w:tc>
          <w:tcPr>
            <w:tcW w:w="9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2" w:type="dxa"/>
            <w:tcBorders/>
            <w:vAlign w:val="center"/>
          </w:tcPr>
          <w:p>
            <w:pPr>
              <w:pStyle w:val="TableContents"/>
              <w:bidi w:val="0"/>
              <w:spacing w:lineRule="auto" w:line="285" w:before="0" w:after="0"/>
              <w:ind w:left="0" w:right="0" w:hanging="0"/>
              <w:jc w:val="left"/>
            </w:pPr>
            <w:r>
              <w:t>  ​ ​ ​</w:t>
            </w:r>
          </w:p>
        </w:tc>
      </w:tr>
      <w:t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881"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776" w:type="dxa"/>
            <w:tcBorders/>
            <w:shd w:fill="CCEEFF" w:val="clear"/>
            <w:vAlign w:val="center"/>
          </w:tcPr>
          <w:p>
            <w:pPr>
              <w:pStyle w:val="TableContents"/>
              <w:bidi w:val="0"/>
              <w:spacing w:lineRule="auto" w:line="285" w:before="0" w:after="0"/>
              <w:ind w:left="0" w:right="0" w:hanging="0"/>
              <w:jc w:val="right"/>
            </w:pPr>
            <w:r>
              <w:t>  ​</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(51,994)</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(2,962)</w:t>
            </w:r>
          </w:p>
        </w:tc>
        <w:tc>
          <w:tcPr>
            <w:tcW w:w="392" w:type="dxa"/>
            <w:tcBorders/>
            <w:vAlign w:val="center"/>
          </w:tcPr>
          <w:p>
            <w:pPr>
              <w:pStyle w:val="TableContents"/>
              <w:bidi w:val="0"/>
              <w:spacing w:lineRule="auto" w:line="285" w:before="0" w:after="0"/>
              <w:ind w:left="0" w:right="0" w:hanging="0"/>
              <w:jc w:val="left"/>
            </w:pPr>
            <w:r>
              <w:t>​</w:t>
            </w:r>
          </w:p>
        </w:tc>
      </w:tr>
      <w:t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881"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776" w:type="dxa"/>
            <w:tcBorders/>
            <w:shd w:fill="CCEEFF" w:val="clear"/>
            <w:vAlign w:val="center"/>
          </w:tcPr>
          <w:p>
            <w:pPr>
              <w:pStyle w:val="TableContents"/>
              <w:bidi w:val="0"/>
              <w:spacing w:lineRule="auto" w:line="285" w:before="0" w:after="0"/>
              <w:ind w:left="0" w:right="0" w:hanging="0"/>
              <w:jc w:val="right"/>
            </w:pPr>
            <w:r>
              <w:t>  ​</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8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7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92" w:type="dxa"/>
            <w:tcBorders/>
            <w:vAlign w:val="center"/>
          </w:tcPr>
          <w:p>
            <w:pPr>
              <w:pStyle w:val="TableContents"/>
              <w:bidi w:val="0"/>
              <w:spacing w:lineRule="auto" w:line="285" w:before="0" w:after="0"/>
              <w:ind w:left="0" w:right="0" w:hanging="0"/>
              <w:jc w:val="left"/>
            </w:pPr>
            <w:r>
              <w:t>​</w:t>
            </w:r>
          </w:p>
        </w:tc>
      </w:tr>
      <w:t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Accretion related to marketable securities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8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7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8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8,088</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7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3,756</w:t>
            </w:r>
          </w:p>
        </w:tc>
        <w:tc>
          <w:tcPr>
            <w:tcW w:w="392" w:type="dxa"/>
            <w:tcBorders/>
            <w:vAlign w:val="center"/>
          </w:tcPr>
          <w:p>
            <w:pPr>
              <w:pStyle w:val="TableContents"/>
              <w:bidi w:val="0"/>
              <w:spacing w:lineRule="auto" w:line="285" w:before="0" w:after="0"/>
              <w:ind w:left="0" w:right="0" w:hanging="0"/>
              <w:jc w:val="left"/>
            </w:pPr>
            <w:r>
              <w:t>​</w:t>
            </w:r>
          </w:p>
        </w:tc>
      </w:tr>
      <w:t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88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7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(27,141)</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equity method investment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8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2,199</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7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1,251</w:t>
            </w:r>
          </w:p>
        </w:tc>
        <w:tc>
          <w:tcPr>
            <w:tcW w:w="392" w:type="dxa"/>
            <w:tcBorders/>
            <w:vAlign w:val="center"/>
          </w:tcPr>
          <w:p>
            <w:pPr>
              <w:pStyle w:val="TableContents"/>
              <w:bidi w:val="0"/>
              <w:spacing w:lineRule="auto" w:line="285" w:before="0" w:after="0"/>
              <w:ind w:left="0" w:right="0" w:hanging="0"/>
              <w:jc w:val="left"/>
            </w:pPr>
            <w:r>
              <w:t>​</w:t>
            </w:r>
          </w:p>
        </w:tc>
      </w:tr>
      <w:t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881"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776" w:type="dxa"/>
            <w:tcBorders/>
            <w:shd w:fill="CCEEFF" w:val="clear"/>
            <w:vAlign w:val="center"/>
          </w:tcPr>
          <w:p>
            <w:pPr>
              <w:pStyle w:val="TableContents"/>
              <w:bidi w:val="0"/>
              <w:spacing w:lineRule="auto" w:line="285" w:before="0" w:after="0"/>
              <w:ind w:left="0" w:right="0" w:hanging="0"/>
              <w:jc w:val="right"/>
            </w:pPr>
            <w:r>
              <w:t>  ​</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receivable - related party</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8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7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92" w:type="dxa"/>
            <w:tcBorders/>
            <w:vAlign w:val="center"/>
          </w:tcPr>
          <w:p>
            <w:pPr>
              <w:pStyle w:val="TableContents"/>
              <w:bidi w:val="0"/>
              <w:spacing w:lineRule="auto" w:line="285" w:before="0" w:after="0"/>
              <w:ind w:left="0" w:right="0" w:hanging="0"/>
              <w:jc w:val="left"/>
            </w:pPr>
            <w:r>
              <w:t>​</w:t>
            </w:r>
          </w:p>
        </w:tc>
      </w:tr>
      <w:t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and other current assets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8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(1,967)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7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1,145</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w:t>
            </w:r>
          </w:p>
        </w:tc>
        <w:tc>
          <w:tcPr>
            <w:tcW w:w="8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w:t>
            </w:r>
          </w:p>
        </w:tc>
        <w:tc>
          <w:tcPr>
            <w:tcW w:w="7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92" w:type="dxa"/>
            <w:tcBorders/>
            <w:vAlign w:val="center"/>
          </w:tcPr>
          <w:p>
            <w:pPr>
              <w:pStyle w:val="TableContents"/>
              <w:bidi w:val="0"/>
              <w:spacing w:lineRule="auto" w:line="285" w:before="0" w:after="0"/>
              <w:ind w:left="0" w:right="0" w:hanging="0"/>
              <w:jc w:val="left"/>
            </w:pPr>
            <w:r>
              <w:t>​</w:t>
            </w:r>
          </w:p>
        </w:tc>
      </w:tr>
      <w:t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8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(848)</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7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8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3,155</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7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(608)</w:t>
            </w:r>
          </w:p>
        </w:tc>
        <w:tc>
          <w:tcPr>
            <w:tcW w:w="392" w:type="dxa"/>
            <w:tcBorders/>
            <w:vAlign w:val="center"/>
          </w:tcPr>
          <w:p>
            <w:pPr>
              <w:pStyle w:val="TableContents"/>
              <w:bidi w:val="0"/>
              <w:spacing w:lineRule="auto" w:line="285" w:before="0" w:after="0"/>
              <w:ind w:left="0" w:right="0" w:hanging="0"/>
              <w:jc w:val="left"/>
            </w:pPr>
            <w:r>
              <w:t>​</w:t>
            </w:r>
          </w:p>
        </w:tc>
      </w:tr>
      <w:t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and other liabilities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8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2,793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7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1,996</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8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92" w:type="dxa"/>
            <w:tcBorders/>
            <w:vAlign w:val="center"/>
          </w:tcPr>
          <w:p>
            <w:pPr>
              <w:pStyle w:val="TableContents"/>
              <w:bidi w:val="0"/>
              <w:spacing w:lineRule="auto" w:line="285" w:before="0" w:after="0"/>
              <w:ind w:left="0" w:right="0" w:hanging="0"/>
              <w:jc w:val="left"/>
            </w:pPr>
            <w:r>
              <w:t>​</w:t>
            </w:r>
          </w:p>
        </w:tc>
      </w:tr>
      <w:t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8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(37,987)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7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(23,606)</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881" w:type="dxa"/>
            <w:tcBorders/>
            <w:vAlign w:val="center"/>
          </w:tcPr>
          <w:p>
            <w:pPr>
              <w:pStyle w:val="TableContents"/>
              <w:bidi w:val="0"/>
              <w:spacing w:lineRule="auto" w:line="285" w:before="0" w:after="0"/>
              <w:ind w:left="0" w:right="0" w:hanging="0"/>
              <w:jc w:val="right"/>
            </w:pPr>
            <w:r>
              <w:t>  ​</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776" w:type="dxa"/>
            <w:tcBorders/>
            <w:vAlign w:val="center"/>
          </w:tcPr>
          <w:p>
            <w:pPr>
              <w:pStyle w:val="TableContents"/>
              <w:bidi w:val="0"/>
              <w:spacing w:lineRule="auto" w:line="285" w:before="0" w:after="0"/>
              <w:ind w:left="0" w:right="0" w:hanging="0"/>
              <w:jc w:val="right"/>
            </w:pPr>
            <w:r>
              <w:t>  ​</w:t>
            </w:r>
          </w:p>
        </w:tc>
        <w:tc>
          <w:tcPr>
            <w:tcW w:w="392" w:type="dxa"/>
            <w:tcBorders/>
            <w:vAlign w:val="center"/>
          </w:tcPr>
          <w:p>
            <w:pPr>
              <w:pStyle w:val="TableContents"/>
              <w:bidi w:val="0"/>
              <w:spacing w:lineRule="auto" w:line="285" w:before="0" w:after="0"/>
              <w:ind w:left="0" w:right="0" w:hanging="0"/>
              <w:jc w:val="left"/>
            </w:pPr>
            <w:r>
              <w:t>​</w:t>
            </w:r>
          </w:p>
        </w:tc>
      </w:tr>
      <w:t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marketable securities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8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(239,858)</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7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(78,332)</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Maturities of marketable securities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8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102,304</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7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59,805</w:t>
            </w:r>
          </w:p>
        </w:tc>
        <w:tc>
          <w:tcPr>
            <w:tcW w:w="392" w:type="dxa"/>
            <w:tcBorders/>
            <w:vAlign w:val="center"/>
          </w:tcPr>
          <w:p>
            <w:pPr>
              <w:pStyle w:val="TableContents"/>
              <w:bidi w:val="0"/>
              <w:spacing w:lineRule="auto" w:line="285" w:before="0" w:after="0"/>
              <w:ind w:left="0" w:right="0" w:hanging="0"/>
              <w:jc w:val="left"/>
            </w:pPr>
            <w:r>
              <w:t>​</w:t>
            </w:r>
          </w:p>
        </w:tc>
      </w:tr>
      <w:t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8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(739)</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7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Investment in Angel Pharmaceuticals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8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pPr>
            <w:r>
              <w:t>—</w:t>
            </w:r>
          </w:p>
        </w:tc>
        <w:tc>
          <w:tcPr>
            <w:tcW w:w="392" w:type="dxa"/>
            <w:tcBorders/>
            <w:vAlign w:val="center"/>
          </w:tcPr>
          <w:p>
            <w:pPr>
              <w:pStyle w:val="TableContents"/>
              <w:bidi w:val="0"/>
              <w:spacing w:lineRule="auto" w:line="285" w:before="0" w:after="0"/>
              <w:ind w:left="0" w:right="0" w:hanging="0"/>
              <w:jc w:val="left"/>
            </w:pPr>
            <w:r>
              <w:t>​</w:t>
            </w:r>
          </w:p>
        </w:tc>
      </w:tr>
      <w:t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8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(143,293)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7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(18,676)</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881" w:type="dxa"/>
            <w:tcBorders/>
            <w:vAlign w:val="center"/>
          </w:tcPr>
          <w:p>
            <w:pPr>
              <w:pStyle w:val="TableContents"/>
              <w:bidi w:val="0"/>
              <w:spacing w:lineRule="auto" w:line="285" w:before="0" w:after="0"/>
              <w:ind w:left="0" w:right="0" w:hanging="0"/>
              <w:jc w:val="right"/>
            </w:pPr>
            <w:r>
              <w:t>  ​</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776" w:type="dxa"/>
            <w:tcBorders/>
            <w:vAlign w:val="center"/>
          </w:tcPr>
          <w:p>
            <w:pPr>
              <w:pStyle w:val="TableContents"/>
              <w:bidi w:val="0"/>
              <w:spacing w:lineRule="auto" w:line="285" w:before="0" w:after="0"/>
              <w:ind w:left="0" w:right="0" w:hanging="0"/>
              <w:jc w:val="right"/>
            </w:pPr>
            <w:r>
              <w:t>  ​</w:t>
            </w:r>
          </w:p>
        </w:tc>
        <w:tc>
          <w:tcPr>
            <w:tcW w:w="392" w:type="dxa"/>
            <w:tcBorders/>
            <w:vAlign w:val="center"/>
          </w:tcPr>
          <w:p>
            <w:pPr>
              <w:pStyle w:val="TableContents"/>
              <w:bidi w:val="0"/>
              <w:spacing w:lineRule="auto" w:line="285" w:before="0" w:after="0"/>
              <w:ind w:left="0" w:right="0" w:hanging="0"/>
              <w:jc w:val="left"/>
            </w:pPr>
            <w:r>
              <w:t>​</w:t>
            </w:r>
          </w:p>
        </w:tc>
      </w:tr>
      <w:t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in connection with follow-on public offering, net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8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189,407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776" w:type="dxa"/>
            <w:tcBorders/>
            <w:shd w:fill="CCEEFF" w:val="clear"/>
            <w:vAlign w:val="center"/>
          </w:tcPr>
          <w:p>
            <w:pPr>
              <w:pStyle w:val="TableContents"/>
              <w:bidi w:val="0"/>
              <w:spacing w:lineRule="auto" w:line="285" w:before="0" w:after="0"/>
              <w:ind w:left="0" w:right="0" w:hanging="0"/>
              <w:jc w:val="right"/>
            </w:pPr>
            <w:r>
              <w:t>—</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7042"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the exercise of common stock warrants (includes $4,960 in aggregate gross proceeds from related parties)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w:t>
            </w:r>
          </w:p>
        </w:tc>
        <w:tc>
          <w:tcPr>
            <w:tcW w:w="88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w:t>
            </w:r>
          </w:p>
        </w:tc>
        <w:tc>
          <w:tcPr>
            <w:tcW w:w="7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35,745</w:t>
            </w:r>
          </w:p>
        </w:tc>
        <w:tc>
          <w:tcPr>
            <w:tcW w:w="392" w:type="dxa"/>
            <w:tcBorders/>
            <w:vAlign w:val="center"/>
          </w:tcPr>
          <w:p>
            <w:pPr>
              <w:pStyle w:val="TableContents"/>
              <w:bidi w:val="0"/>
              <w:spacing w:lineRule="auto" w:line="285" w:before="0" w:after="0"/>
              <w:ind w:left="0" w:right="0" w:hanging="0"/>
              <w:jc w:val="left"/>
            </w:pPr>
            <w:r>
              <w:t>​</w:t>
            </w:r>
          </w:p>
        </w:tc>
      </w:tr>
      <w:t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common stock options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8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2,310</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7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8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191,717</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7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36,409</w:t>
            </w:r>
          </w:p>
        </w:tc>
        <w:tc>
          <w:tcPr>
            <w:tcW w:w="392" w:type="dxa"/>
            <w:tcBorders/>
            <w:vAlign w:val="center"/>
          </w:tcPr>
          <w:p>
            <w:pPr>
              <w:pStyle w:val="TableContents"/>
              <w:bidi w:val="0"/>
              <w:spacing w:lineRule="auto" w:line="285" w:before="0" w:after="0"/>
              <w:ind w:left="0" w:right="0" w:hanging="0"/>
              <w:jc w:val="left"/>
            </w:pPr>
            <w:r>
              <w:t>​</w:t>
            </w:r>
          </w:p>
        </w:tc>
      </w:tr>
      <w:t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8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10,437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7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(5,873)</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the period</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8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4,576</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7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8,740</w:t>
            </w:r>
          </w:p>
        </w:tc>
        <w:tc>
          <w:tcPr>
            <w:tcW w:w="392" w:type="dxa"/>
            <w:tcBorders/>
            <w:vAlign w:val="center"/>
          </w:tcPr>
          <w:p>
            <w:pPr>
              <w:pStyle w:val="TableContents"/>
              <w:bidi w:val="0"/>
              <w:spacing w:lineRule="auto" w:line="285" w:before="0" w:after="0"/>
              <w:ind w:left="0" w:right="0" w:hanging="0"/>
              <w:jc w:val="left"/>
            </w:pPr>
            <w:r>
              <w:t>​</w:t>
            </w:r>
          </w:p>
        </w:tc>
      </w:tr>
      <w:t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the period</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15,013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2,867</w:t>
            </w:r>
          </w:p>
        </w:tc>
        <w:tc>
          <w:tcPr>
            <w:tcW w:w="392" w:type="dxa"/>
            <w:tcBorders/>
            <w:shd w:fill="CCEEFF" w:val="clear"/>
            <w:vAlign w:val="center"/>
          </w:tcPr>
          <w:p>
            <w:pPr>
              <w:pStyle w:val="TableContents"/>
              <w:bidi w:val="0"/>
              <w:spacing w:lineRule="auto" w:line="285" w:before="0" w:after="0"/>
              <w:ind w:left="0" w:right="0" w:hanging="0"/>
              <w:jc w:val="left"/>
            </w:pPr>
            <w:r>
              <w:t>​</w:t>
            </w:r>
          </w:p>
        </w:tc>
      </w:tr>
    </w:tbl>
    <w:p>
      <w:pPr>
        <w:pStyle w:val="TextBody"/>
        <w:bidi w:val="0"/>
        <w:spacing w:lineRule="auto" w:line="285" w:before="0" w:after="0"/>
        <w:ind w:left="0" w:right="0" w:hanging="0"/>
        <w:jc w:val="center"/>
      </w:pPr>
      <w: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lineRule="auto" w:line="285" w:before="0" w:after="0"/>
        <w:ind w:left="0" w:right="0" w:hanging="0"/>
        <w:jc w:val="center"/>
      </w:pPr>
      <w:r>
        <w:t>​</w:t>
      </w:r>
    </w:p>
    <w:p>
      <w:pPr>
        <w:pStyle w:val="TextBody"/>
        <w:bidi w:val="0"/>
        <w:spacing w:lineRule="auto" w:line="285" w:before="0" w:after="0"/>
        <w:ind w:left="0" w:right="0" w:hanging="0"/>
        <w:jc w:val="center"/>
      </w:pPr>
      <w:r>
        <w:t>​</w:t>
      </w:r>
    </w:p>
    <w:p>
      <w:pPr>
        <w:pStyle w:val="TextBody"/>
        <w:bidi w:val="0"/>
        <w:spacing w:lineRule="auto" w:line="285" w:before="0" w:after="0"/>
        <w:ind w:left="0" w:right="0" w:hanging="0"/>
        <w:jc w:val="center"/>
      </w:pPr>
      <w:r>
        <w:t>​</w:t>
      </w:r>
    </w:p>
    <w:p>
      <w:pPr>
        <w:pStyle w:val="TextBody"/>
        <w:bidi w:val="0"/>
        <w:spacing w:lineRule="auto" w:line="285" w:before="0" w:after="0"/>
        <w:ind w:left="0" w:right="0" w:hanging="0"/>
        <w:jc w:val="center"/>
      </w:pPr>
      <w:r>
        <w:t>​</w:t>
      </w:r>
    </w:p>
    <w:p>
      <w:pPr>
        <w:pStyle w:val="TextBody"/>
        <w:bidi w:val="0"/>
        <w:spacing w:lineRule="auto" w:line="285" w:before="0" w:after="0"/>
        <w:ind w:left="0" w:right="0" w:hanging="0"/>
        <w:jc w:val="left"/>
      </w:pPr>
      <w: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CORVUS PHARMACEUTICALS, INC.</w:t>
      </w:r>
    </w:p>
    <w:p>
      <w:pPr>
        <w:pStyle w:val="TextBody"/>
        <w:bidi w:val="0"/>
        <w:spacing w:lineRule="auto" w:line="285" w:before="0" w:after="0"/>
        <w:ind w:left="0" w:right="0" w:hanging="0"/>
        <w:jc w:val="center"/>
      </w:pPr>
      <w:r>
        <w:t>​</w:t>
      </w:r>
    </w:p>
    <w:p>
      <w:pPr>
        <w:pStyle w:val="TextBody"/>
        <w:bidi w:val="0"/>
        <w:spacing w:lineRule="auto" w:line="285" w:before="0" w:after="0"/>
        <w:ind w:left="0" w:right="0" w:hanging="0"/>
        <w:jc w:val="center"/>
        <w:rPr>
          <w:rFonts w:ascii="Times New Roman;Times;serif" w:hAnsi="Times New Roman;Times;serif"/>
          <w:b/>
          <w:sz w:val="20"/>
        </w:rPr>
      </w:pPr>
      <w:bookmarkStart w:id="793" w:name="NOTESTOCONDENSEDCONSOLIDATEDFINANCIALSTA"/>
      <w:bookmarkEnd w:id="793"/>
      <w:r>
        <w:rPr>
          <w:rFonts w:ascii="Times New Roman;Times;serif" w:hAnsi="Times New Roman;Times;serif"/>
          <w:b/>
          <w:sz w:val="20"/>
        </w:rPr>
        <w:t>NOTES TO CONDENSED CONSOLIDATED FINANCIAL STATEMENTS (unaudited)</w:t>
      </w:r>
    </w:p>
    <w:p>
      <w:pPr>
        <w:pStyle w:val="TextBody"/>
        <w:bidi w:val="0"/>
        <w:spacing w:lineRule="auto" w:line="285" w:before="0" w:after="0"/>
        <w:ind w:left="0" w:right="0" w:hanging="0"/>
        <w:jc w:val="center"/>
      </w:pPr>
      <w: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 Organization</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Corvus Pharmaceuticals, Inc. (“Corvus” or the “Company”) was incorporated in Delaware on January 27, 2014 and commenced operations in November 2014. Corvus is a clinical-stage biopharmaceutical company. The Company’s operations are located in South San Francisco, California.</w:t>
      </w:r>
    </w:p>
    <w:p>
      <w:pPr>
        <w:pStyle w:val="TextBody"/>
        <w:bidi w:val="0"/>
        <w:spacing w:lineRule="auto" w:line="285" w:before="0" w:after="0"/>
        <w:ind w:left="0" w:right="0" w:firstLine="720"/>
        <w:jc w:val="left"/>
      </w:pPr>
      <w: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Presentation</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condensed consolidated financial statements include the accounts of the Company and its wholly-owned subsidiaries, Corvus Biopharmaceuticals, Ltd. and Corvus Hong Kong Limited. All intercompany accounts and transactions have been eliminated from the condensed consolidated financial statements.</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Registered Direct Offering</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On May 6, 2024, the Company completed a registered direct offering which resulted in gross proceeds of approximately $30.6 million. The financing consisted of the sale of 13,512,699 shares of common stock and accompanying common stock warrants to purchase 13,078,509 shares of common stock (or pre-funded warrants in lieu thereof) at a combined offering price of $1.7312 per share, and the sale of pre-funded warrants to purchase 4,144,085 shares of common stock and accompanying common warrants to purchase 4,010,927 shares of common stock (or pre-funded warrants in lieu thereof) at a combined offering price of $1.7311 per share. The common warrants had an exercise price of $3.50 per share of common stock (or $3.4999 per pre-funded warrant in lieu thereof), were exercisable at any time after the date of issuance, subject to certain ownership limitations, and expired on June 30, 2025. The pre-funded warrants have an exercise price of $0.0001 and are exercisable any time after the date of the issuance, subject to certain ownership limitations. As of June 30, 2025, the expiration date of the common warrants, all of the common warrants had been exercised, resulting in proceeds of $54.3 million.</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Follow-on Public Offering</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On January 23, 2026, the Company completed a follow-on public offering in which the Company sold 9,085,778 shares of common stock at a price of $22.15 per share, which included 1,185,101 shares issued pursuant to the underwriters’ exercise of their option to purchase additional shares of common stock. The aggregate net proceeds received by the Company from the offering were approximately $189.4 million, net of underwriting discounts, commissions and offering expenses.</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Liquidity</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is subject to risks and uncertainties common to early-stage companies in the biotechnology industry, including, but not limited to, development by competitors of new technological innovations, protection of proprietary technology, dependence on key personnel, contract manufacturer and contract research organizations, compliance with government regulations and the need to obtain additional financing to fund operations. Since commencing operations in 2014, the majority of the Company’s efforts have been focused on the research and development of soquelitinib, ciforadenant and mupadolimab. The Company believes that it will continue to expend substantial resources for the foreseeable future as it continues clinical development of, seek regulatory approval for and, if approved, prepare for the commercialization of soquelitinib, as well as product candidates under the Company’s other development programs. These expenditures will include costs associated with research and development, conducting preclinical studies and clinical trials, obtaining regulatory approvals, manufacturing and supply, sales and marketing and general operations. In addition, other unanticipated costs may arise. Because the outcome of any clinical trial and/or regulatory approval process is highly uncertain, the Company may not be able to accurately estimate the actual amounts necessary to successfully complete the development, regulatory approval process and commercialization of soquelitinib, or any other product candidates.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has incurred significant losses and negative cash flows from operations in all periods since inception and had an accumulated deficit of $464.3 million as of September 30, 2026. To date, none of the Company’s product candidates have been approved for sale and therefore the Company has not generated any revenue from sales of commercial products. Management expects operating losses to continue for the foreseeable future. The Company has funded its operations to date primarily through the sale of redeemable convertible preferred stock, common stock, pre-funded warrants and common stock warrants. As of September 30, 2026, the Company had cash, cash equivalents and marketable securities of $202.9 million. Management believes that the Company’s current cash, cash equivalents and short-term marketable securities will be sufficient to fund its planned operations for at least the next 12 months from the date of the issuance of these condensed consolidated financial statements. To fund all of the Company's ongoing and planned development programs through commercialization, the Company will need to raise additional capital in the future. The Company intends to raise additional capital through private and public equity offerings, debt financings and license and development agreements. However, there can be no assurance that the Company will be successful in acquiring additional funding at levels sufficient to fund its operations or on terms acceptable to the Company or at all. If the Company is unsuccessful in its efforts to raise additional capital or if sufficient funds on acceptable terms are not available when needed, the Company could be required to significantly reduce operating expenses and delay, reduce the scope of or eliminate one or more of its development programs, out-license intellectual property rights to its product candidates, sell unsecured assets, or a combination of the above, any of which may have a material adverse effect on the Company’s business, results of operations, financial condition and/or its ability to fund its obligations on a timely basis or at all. Failure to manage discretionary spending or raise additional capital, as needed, may adversely impact the Company’s ability to achieve its intended business objectives.</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accompanying condensed consolidated financial statements have been prepared in conformity with accounting principles generally accepted in the United States of America (“U.S. GAAP”). The Company’s functional and reporting currency is the U.S. dollar, except for its investment in its equity method investee which is the Chinese renminbi (RMB). The accompanying condensed consolidated financial statements have been prepared on a going-concern basis, which contemplates the realization of assets and discharge of liabilities in the normal course of business.</w:t>
      </w:r>
    </w:p>
    <w:p>
      <w:pPr>
        <w:pStyle w:val="TextBody"/>
        <w:bidi w:val="0"/>
        <w:spacing w:lineRule="auto" w:line="285" w:before="0" w:after="0"/>
        <w:ind w:left="0" w:right="0" w:firstLine="720"/>
        <w:jc w:val="left"/>
      </w:pPr>
      <w: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Unaudited Interim Financial Information</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accompanying interim condensed consolidated financial statements and related disclosures are unaudited, have been prepared on the same basis as the annual financial statements and, in the opinion of management, reflect all adjustments, which include only normal recurring adjustments, necessary for fair statement of the condensed consolidated financial statements presented.</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condensed consolidated balance sheet as of December 31, 2025 was derived from audited financial statements, but does not include all disclosures required by GAAP. The condensed consolidated results of operations for the three and nine months ended September 30, 2026 are not necessarily indicative of the results to be expected for the full year or for any other future year or interim period. The accompanying condensed consolidated financial statements should be read in conjunction with the audited financial statements and the related notes for the year ended December 31, 2025 included in the Company’s Annual Report on Form 10-K filed with the SEC on March 12, 2026.</w:t>
      </w:r>
    </w:p>
    <w:p>
      <w:pPr>
        <w:pStyle w:val="TextBody"/>
        <w:bidi w:val="0"/>
        <w:spacing w:lineRule="auto" w:line="285" w:before="0" w:after="0"/>
        <w:ind w:left="0" w:right="0" w:firstLine="720"/>
        <w:jc w:val="left"/>
      </w:pPr>
      <w: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preparation of the Company’s condensed consolidated financial statements in conformity with U.S. GAAP requires management to make estimates and assumptions that affect the amounts reported in the condensed consolidated financial statements and accompanying notes. Actual results could differ from such estimates.</w:t>
      </w:r>
    </w:p>
    <w:p>
      <w:pPr>
        <w:pStyle w:val="TextBody"/>
        <w:bidi w:val="0"/>
        <w:spacing w:lineRule="auto" w:line="285" w:before="0" w:after="0"/>
        <w:ind w:left="0" w:right="0" w:hanging="0"/>
        <w:jc w:val="left"/>
      </w:pPr>
      <w: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Investments in Equity Securities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Company uses the equity method of accounting for its equity investment if the investment provides the ability to exercise significant influence, but not control, over operating and financial policies of the investee.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Company’s proportionate share of the net income (loss) resulting from the equity method investment is reported under the line item captioned “income (loss) from equity method investment” in the condensed consolidated statements of operations and comprehensive loss and the carrying value of the equity method investments is reported under the line captioned “Investment in Angel Pharmaceuticals” in the condensed consolidated balance sheets. The Company’s equity method investments are reported at cost and adjusted each period for the Company’s share of the investee’s income or loss and the foreign currency translation adjustment as applicable.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For equity method investees with a functional currency different than the Company’s reporting currency, the Company follows the guidance under Accounting Standards Codification (“ASC”) 830-10-15-5, pursuant to which, the foreign currency financial statements of a foreign investee accounted for by the equity method should be translated to the reporting entity’s reporting currency.</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Company evaluates equity method investments for impairment whenever events or changes in circumstances indicate that the carrying amount of the investment might not be recoverable. Factors considered by the Company when reviewing an equity method investment for impairment include the length of time (duration) and the extent (severity) to which the fair value of the equity method investment has been less than cost, the investee’s financial condition and near-term prospects and the intent and ability to hold the investment for a period of time sufficient to allow for anticipated recovery. An impairment that is other-than-temporary is recognized in the period identified.</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See Note 6, “Equity Method Investment,” for further information.</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Concentrations of Credit Risk and Other Risks and Uncertainties</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Substantially all of the Company’s cash and cash equivalents are deposited in accounts with two financial institutions that management believes are of high credit quality. Such deposits may, at times, exceed federally insured limits. The Company maintains its cash with an accredited financial institution and accordingly, such funds are subject to minimal credit risk. The Company’s marketable securities consist of investments in U.S. Treasury securities and U.S. government agency securities, which can be subject to certain credit risks. However, the Company mitigates the risks by investing in high-grade instruments, limiting its exposure to any one issuer, and monitoring the ongoing creditworthiness of the financial institutions and issuers. The Company has not experienced any losses on its deposits of cash, cash equivalents or marketable securities.</w:t>
      </w:r>
    </w:p>
    <w:p>
      <w:pPr>
        <w:pStyle w:val="TextBody"/>
        <w:bidi w:val="0"/>
        <w:spacing w:lineRule="auto" w:line="285" w:before="0" w:after="0"/>
        <w:ind w:left="0" w:right="0" w:firstLine="72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 is subject to a number of risks similar to other early stage biopharmaceutical companies, including, but not limited to, the need to obtain adequate additional funding, possible failure of preclinical testing or clinical trials, its reliance on third parties to conduct its clinical trials, the need to obtain marketing approval for its product candidates, competitors developing new technological innovations, the need to successfully commercialize and gain market acceptance of the Company’s product candidates, its right to develop and commercialize its product candidates pursuant to the terms and conditions of the licenses granted to the Company, and protection of proprietary technology. If the Company does not successfully commercialize or partner any of its product candidates, it will be unable to generate product revenue or achieve profitability.</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the Company’s significant accounting policies during the nine months ended September 30, 2026 from those discussed in the Company’s Annual Report on Form 10-K filed with the SEC on March 12, 2026.</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October 2023, the Financial Accounting Standards Board (the “FASB”) issued ASU 2023-06, Disclosure Improvements: Codification Amendments in Response to the SEC’s Disclosure Update and Simplification Initiative, which modifies the disclosure or presentation requirements related to variety of FASB Accounting Standard Codification topics. The effective date for each amendment will be the date on which the SEC’s removal of that related disclosure from Regulation S-X or Regulation S-K is effective. If by June 30, 2027, the SEC has not removed the applicable requirement from Regulation S-X or Regulation S-K, the pending content of the associated amendment will be removed from the Codification and will not become effective for any entities. The Company is currently evaluating the effect of adopting this ASU.</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November 2024, the FASB issued ASU 2024-03, Disaggregation of Income Statement Expense. This update requires entities to disaggregate operating expenses into specific categories, such as salaries and wages, depreciation, and amortization, to provide enhanced transparency into the nature and function of expenses. ASU 2024-03 is effective for fiscal years beginning after December 15, 2026, with early adoption permitted. ASU 2024-03 may be applied retrospectively or prospectively. The Company is currently evaluating the impact of ASU 2024-03 on its financial statement presentation and disclosures.</w:t>
      </w:r>
    </w:p>
    <w:p>
      <w:pPr>
        <w:pStyle w:val="TextBody"/>
        <w:bidi w:val="0"/>
        <w:spacing w:lineRule="auto" w:line="285" w:before="0" w:after="0"/>
        <w:ind w:left="0" w:right="0" w:hanging="0"/>
        <w:jc w:val="left"/>
        <w:rPr>
          <w:rFonts w:ascii="Times New Roman;Times;serif" w:hAnsi="Times New Roman;Times;serif"/>
          <w:b/>
          <w:sz w:val="20"/>
        </w:rPr>
      </w:pPr>
      <w:bookmarkStart w:id="794" w:name="Tc_ai8QH86hp0GPmWwRLuKe3Q_14_11"/>
      <w:bookmarkStart w:id="795" w:name="Tc_jV_LzsCAEU6NHVcj4iQXJw_14_8"/>
      <w:bookmarkStart w:id="796" w:name="Tc_Jg4ufqtmeUGCzdoFIXf3Yg_14_5"/>
      <w:bookmarkStart w:id="797" w:name="Tc_Mofgol2xhUSfnTazlNUNPQ_14_2"/>
      <w:bookmarkStart w:id="798" w:name="Tc_HdqozUj_50-04rsQ7KEM0g_14_0"/>
      <w:bookmarkStart w:id="799" w:name="Tc_GcdbKdxXY0-5TJmZwQbKLQ_13_11"/>
      <w:bookmarkStart w:id="800" w:name="Tc_QsTcHIVj0kGb61uiDOwSvA_13_8"/>
      <w:bookmarkStart w:id="801" w:name="Tc_kT7vYLnmiU66A1Wc_vLiWQ_13_5"/>
      <w:bookmarkStart w:id="802" w:name="Tc_DW6Amo6caUWrbpvepPpqvQ_13_2"/>
      <w:bookmarkStart w:id="803" w:name="Tc_s0it1m4qUkOo1zcVTBAi9g_13_0"/>
      <w:bookmarkStart w:id="804" w:name="Tc_cTZfmn9tr02AlByp8B9scA_11_0"/>
      <w:bookmarkStart w:id="805" w:name="Tc_Q5Zr1Zcumk6amSfmOIJOGA_10_9"/>
      <w:bookmarkStart w:id="806" w:name="Tc_UVoNBHn2EkaxZHSoSdL2cg_10_6"/>
      <w:bookmarkStart w:id="807" w:name="Tc_ARzw5EfLS0K44asNHZwS5Q_10_3"/>
      <w:bookmarkStart w:id="808" w:name="Tc_nEP2se_IlEGBzj65ASQRcQ_10_0"/>
      <w:bookmarkStart w:id="809" w:name="Tc_MXxm8gYhWEuNgSG0Z1okFg_9_0"/>
      <w:bookmarkStart w:id="810" w:name="Tc_dKP9wNIFwkaYCvaGi8iSWQ_8_0"/>
      <w:bookmarkStart w:id="811" w:name="Tc_zpgI13LNKkyBFpxWglzjNQ_7_11"/>
      <w:bookmarkStart w:id="812" w:name="Tc_K7YMkdH_GE-q2d3OlAqclg_7_8"/>
      <w:bookmarkStart w:id="813" w:name="Tc_ZQvy2T_wSEe6oCCXO_5FRg_7_5"/>
      <w:bookmarkStart w:id="814" w:name="Tc_rdoSS-d3KU-PAdV-BVdWAQ_7_2"/>
      <w:bookmarkStart w:id="815" w:name="Tc_iAxDDOhJLk626QZxk5v4hQ_7_0"/>
      <w:bookmarkStart w:id="816" w:name="Tc_7uVIFXrPz0ShCD-P0vEx4A_6_9"/>
      <w:bookmarkStart w:id="817" w:name="Tc_qlqg4-JlvkW8eJJhilgcDg_6_6"/>
      <w:bookmarkStart w:id="818" w:name="Tc_pLdLpYD9fUGprWtePOv9Gg_6_3"/>
      <w:bookmarkStart w:id="819" w:name="Tc_Few2xcHOHk2kpKKhwo4GiQ_6_0"/>
      <w:bookmarkStart w:id="820" w:name="Tc_N_Dw6NbGMUqDXR64Sb45Gw_5_11"/>
      <w:bookmarkStart w:id="821" w:name="Tc_GIjp8n-htE2v9KETkWAVIA_5_8"/>
      <w:bookmarkStart w:id="822" w:name="Tc_gkOKGGNoT0yyMSx1B3Vo0w_5_5"/>
      <w:bookmarkStart w:id="823" w:name="Tc_D22dxwdVYEymcvoYu_G6vA_5_2"/>
      <w:bookmarkStart w:id="824" w:name="Tc_Zybo_gC3mUuDrsVGstCTdw_5_0"/>
      <w:bookmarkStart w:id="825" w:name="Tc_s4uVpb283Uu4p-6bVVC0_A_4_0"/>
      <w:bookmarkStart w:id="826" w:name="Tc_1KekAxi8c0e9YuEV3er7gQ_3_11"/>
      <w:bookmarkStart w:id="827" w:name="Tc_O-1djVJkV0mZan8nEgrdpA_3_8"/>
      <w:bookmarkStart w:id="828" w:name="Tc_I5r_HhUb8kifN15zLRPCVg_3_5"/>
      <w:bookmarkStart w:id="829" w:name="Tc_nOCST-wV3UWKHDhXlMmIyg_3_2"/>
      <w:bookmarkStart w:id="830" w:name="Tc_icogKXxH3UO6bnFrqb3p_Q_2_8"/>
      <w:bookmarkStart w:id="831" w:name="Tc_0qaJI4CyPE-4e0sa0_PC7Q_2_2"/>
      <w:bookmarkStart w:id="832" w:name="Tc_bIZYjiiGmUS8ecJlGyCCNQ_1_8"/>
      <w:bookmarkStart w:id="833" w:name="Tc_CL219FdtzE-LnZlTslN4XA_1_2"/>
      <w:bookmarkStart w:id="834" w:name="_1ef6e51c_4186_41ed_892b_65d25ec57510"/>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r>
        <w:rPr>
          <w:rFonts w:ascii="Times New Roman;Times;serif" w:hAnsi="Times New Roman;Times;serif"/>
          <w:b/>
          <w:sz w:val="20"/>
        </w:rPr>
        <w:t>3. Net Loss per Share</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shows the calculation of net (loss) income per share (in thousands, except share and per share data):</w:t>
      </w:r>
    </w:p>
    <w:p>
      <w:pPr>
        <w:pStyle w:val="TextBody"/>
        <w:bidi w:val="0"/>
        <w:spacing w:lineRule="auto" w:line="285"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3442"/>
        <w:gridCol w:w="346"/>
        <w:gridCol w:w="211"/>
        <w:gridCol w:w="1036"/>
        <w:gridCol w:w="346"/>
        <w:gridCol w:w="211"/>
        <w:gridCol w:w="1036"/>
        <w:gridCol w:w="346"/>
        <w:gridCol w:w="211"/>
        <w:gridCol w:w="1036"/>
        <w:gridCol w:w="346"/>
        <w:gridCol w:w="211"/>
        <w:gridCol w:w="1036"/>
        <w:gridCol w:w="391"/>
      </w:tblGrid>
      <w:tr>
        <w:tc>
          <w:tcPr>
            <w:tcW w:w="3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85670" cy="175260"/>
                      <wp:effectExtent l="0" t="0" r="0" b="0"/>
                      <wp:wrapNone/>
                      <wp:docPr id="73" name="Frame73"/>
                      <a:graphic xmlns:a="http://schemas.openxmlformats.org/drawingml/2006/main">
                        <a:graphicData uri="http://schemas.microsoft.com/office/word/2010/wordprocessingShape">
                          <wps:wsp>
                            <wps:cNvSpPr txBox="1"/>
                            <wps:spPr>
                              <a:xfrm>
                                <a:off x="0" y="0"/>
                                <a:ext cx="218567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57860" cy="175260"/>
                      <wp:effectExtent l="0" t="0" r="0" b="0"/>
                      <wp:wrapNone/>
                      <wp:docPr id="76" name="Frame7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57860" cy="175260"/>
                      <wp:effectExtent l="0" t="0" r="0" b="0"/>
                      <wp:wrapNone/>
                      <wp:docPr id="79" name="Frame7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57860" cy="175260"/>
                      <wp:effectExtent l="0" t="0" r="0" b="0"/>
                      <wp:wrapNone/>
                      <wp:docPr id="82" name="Frame8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57860" cy="175260"/>
                      <wp:effectExtent l="0" t="0" r="0" b="0"/>
                      <wp:wrapNone/>
                      <wp:docPr id="85" name="Frame8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48285" cy="175260"/>
                      <wp:effectExtent l="0" t="0" r="0" b="0"/>
                      <wp:wrapNone/>
                      <wp:docPr id="86" name="Frame8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3442"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284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left"/>
            </w:pPr>
            <w:r>
              <w:t>​</w:t>
            </w:r>
          </w:p>
        </w:tc>
        <w:tc>
          <w:tcPr>
            <w:tcW w:w="284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91" w:type="dxa"/>
            <w:tcBorders/>
            <w:vAlign w:val="center"/>
          </w:tcPr>
          <w:p>
            <w:pPr>
              <w:pStyle w:val="TableContents"/>
              <w:bidi w:val="0"/>
              <w:spacing w:lineRule="auto" w:line="285" w:before="0" w:after="0"/>
              <w:ind w:left="0" w:right="0" w:hanging="0"/>
              <w:jc w:val="center"/>
            </w:pPr>
            <w:r>
              <w:t>​</w:t>
            </w:r>
          </w:p>
        </w:tc>
      </w:tr>
      <w:tr>
        <w:tc>
          <w:tcPr>
            <w:tcW w:w="3442"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284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lineRule="auto" w:line="285" w:before="0" w:after="0"/>
              <w:ind w:left="0" w:right="0" w:hanging="0"/>
              <w:jc w:val="left"/>
            </w:pPr>
            <w:r>
              <w:t>​</w:t>
            </w:r>
          </w:p>
        </w:tc>
        <w:tc>
          <w:tcPr>
            <w:tcW w:w="284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91" w:type="dxa"/>
            <w:tcBorders/>
            <w:vAlign w:val="center"/>
          </w:tcPr>
          <w:p>
            <w:pPr>
              <w:pStyle w:val="TableContents"/>
              <w:bidi w:val="0"/>
              <w:spacing w:lineRule="auto" w:line="285" w:before="0" w:after="0"/>
              <w:ind w:left="0" w:right="0" w:hanging="0"/>
              <w:jc w:val="center"/>
            </w:pPr>
            <w:r>
              <w:t>​</w:t>
            </w:r>
          </w:p>
        </w:tc>
      </w:tr>
      <w:tr>
        <w:tc>
          <w:tcPr>
            <w:tcW w:w="3442"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pPr>
            <w: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pPr>
            <w: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pPr>
            <w: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pPr>
            <w:r>
              <w:t>  ​ ​ ​</w:t>
            </w:r>
          </w:p>
        </w:tc>
      </w:tr>
      <w:t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1036"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1036"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1036"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1036" w:type="dxa"/>
            <w:tcBorders/>
            <w:shd w:fill="CCEEFF" w:val="clear"/>
            <w:vAlign w:val="center"/>
          </w:tcPr>
          <w:p>
            <w:pPr>
              <w:pStyle w:val="TableContents"/>
              <w:bidi w:val="0"/>
              <w:spacing w:lineRule="auto" w:line="285" w:before="0" w:after="0"/>
              <w:ind w:left="0" w:right="0" w:hanging="0"/>
              <w:jc w:val="right"/>
            </w:pPr>
            <w:r>
              <w:t>  ​</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income attributable to common stockholders, basic</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(20,343)</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(10,157)</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(51,994)</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(2,962)</w:t>
            </w:r>
          </w:p>
        </w:tc>
        <w:tc>
          <w:tcPr>
            <w:tcW w:w="391" w:type="dxa"/>
            <w:tcBorders/>
            <w:vAlign w:val="center"/>
          </w:tcPr>
          <w:p>
            <w:pPr>
              <w:pStyle w:val="TableContents"/>
              <w:bidi w:val="0"/>
              <w:spacing w:lineRule="auto" w:line="285" w:before="0" w:after="0"/>
              <w:ind w:left="0" w:right="0" w:hanging="0"/>
              <w:jc w:val="left"/>
            </w:pPr>
            <w:r>
              <w:t>​</w:t>
            </w:r>
          </w:p>
        </w:tc>
      </w:tr>
      <w:t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Gain from change in fair value of warrant liability</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(27,141)</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 basic and diluted</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(20,343)</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(10,157)</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(51,994)</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(30,103)</w:t>
            </w:r>
          </w:p>
        </w:tc>
        <w:tc>
          <w:tcPr>
            <w:tcW w:w="391" w:type="dxa"/>
            <w:tcBorders/>
            <w:vAlign w:val="center"/>
          </w:tcPr>
          <w:p>
            <w:pPr>
              <w:pStyle w:val="TableContents"/>
              <w:bidi w:val="0"/>
              <w:spacing w:lineRule="auto" w:line="285" w:before="0" w:after="0"/>
              <w:ind w:left="0" w:right="0" w:hanging="0"/>
              <w:jc w:val="left"/>
            </w:pPr>
            <w:r>
              <w:t>​</w:t>
            </w:r>
          </w:p>
        </w:tc>
      </w:tr>
      <w:t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1036"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1036"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1036"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1036" w:type="dxa"/>
            <w:tcBorders/>
            <w:shd w:fill="CCEEFF" w:val="clear"/>
            <w:vAlign w:val="center"/>
          </w:tcPr>
          <w:p>
            <w:pPr>
              <w:pStyle w:val="TableContents"/>
              <w:bidi w:val="0"/>
              <w:spacing w:lineRule="auto" w:line="285" w:before="0" w:after="0"/>
              <w:ind w:left="0" w:right="0" w:hanging="0"/>
              <w:jc w:val="right"/>
            </w:pPr>
            <w:r>
              <w:t>  ​</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and pre-funded warrants outstanding used to compute basic and diluted net loss per share</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92,487,761</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82,836,369</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91,626,625</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77,618,300</w:t>
            </w:r>
          </w:p>
        </w:tc>
        <w:tc>
          <w:tcPr>
            <w:tcW w:w="391" w:type="dxa"/>
            <w:tcBorders/>
            <w:vAlign w:val="center"/>
          </w:tcPr>
          <w:p>
            <w:pPr>
              <w:pStyle w:val="TableContents"/>
              <w:bidi w:val="0"/>
              <w:spacing w:lineRule="auto" w:line="285" w:before="0" w:after="0"/>
              <w:ind w:left="0" w:right="0" w:hanging="0"/>
              <w:jc w:val="left"/>
            </w:pPr>
            <w:r>
              <w:t>​</w:t>
            </w:r>
          </w:p>
        </w:tc>
      </w:tr>
      <w:t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issuable upon the exercise of common warrants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1,037,124</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and prefunded warrants outstanding used to compute diluted net loss per share</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92,487,761</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82,836,369</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91,626,625</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78,655,424</w:t>
            </w:r>
          </w:p>
        </w:tc>
        <w:tc>
          <w:tcPr>
            <w:tcW w:w="391" w:type="dxa"/>
            <w:tcBorders/>
            <w:vAlign w:val="center"/>
          </w:tcPr>
          <w:p>
            <w:pPr>
              <w:pStyle w:val="TableContents"/>
              <w:bidi w:val="0"/>
              <w:spacing w:lineRule="auto" w:line="285" w:before="0" w:after="0"/>
              <w:ind w:left="0" w:right="0" w:hanging="0"/>
              <w:jc w:val="left"/>
            </w:pPr>
            <w:r>
              <w:t>​</w:t>
            </w:r>
          </w:p>
        </w:tc>
      </w:tr>
      <w:tr>
        <w:tc>
          <w:tcPr>
            <w:tcW w:w="3442" w:type="dxa"/>
            <w:tcBorders/>
            <w:shd w:fill="CCEEFF" w:val="clear"/>
            <w:vAlign w:val="center"/>
          </w:tcPr>
          <w:p>
            <w:pPr>
              <w:pStyle w:val="TableContents"/>
              <w:bidi w:val="0"/>
              <w:spacing w:lineRule="auto" w:line="285" w:before="0" w:after="0"/>
              <w:ind w:left="0" w:right="0" w:hanging="0"/>
              <w:jc w:val="lef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(0.22)</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91" w:type="dxa"/>
            <w:tcBorders/>
            <w:vAlign w:val="center"/>
          </w:tcPr>
          <w:p>
            <w:pPr>
              <w:pStyle w:val="TableContents"/>
              <w:bidi w:val="0"/>
              <w:spacing w:lineRule="auto" w:line="285" w:before="0" w:after="0"/>
              <w:ind w:left="0" w:right="0" w:hanging="0"/>
              <w:jc w:val="left"/>
            </w:pPr>
            <w:r>
              <w:t>​</w:t>
            </w:r>
          </w:p>
        </w:tc>
      </w:tr>
      <w:t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per share, diluted</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(0.22)</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91" w:type="dxa"/>
            <w:tcBorders/>
            <w:shd w:fill="CCEEFF" w:val="clear"/>
            <w:vAlign w:val="center"/>
          </w:tcPr>
          <w:p>
            <w:pPr>
              <w:pStyle w:val="TableContents"/>
              <w:bidi w:val="0"/>
              <w:spacing w:lineRule="auto" w:line="285" w:before="0" w:after="0"/>
              <w:ind w:left="0" w:right="0" w:hanging="0"/>
              <w:jc w:val="left"/>
            </w:pPr>
            <w:r>
              <w:t>​</w:t>
            </w:r>
          </w:p>
        </w:tc>
      </w:tr>
    </w:tbl>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Weighted average common shares outstanding used in the calculation of basic and diluted net loss per share for the three and nine months ended September 30, 2026 and 2025 includes 8,275,913 shares of common stock issuable upon conversion of pre-funded warrants. Refer to Note 9, “Warrants” for further details.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Shares issuable upon exercise of common warrants used in the calculation of diluted net loss per share for the nine months ended September 30, 2025 were calculated using the treasury stock method.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bookmarkStart w:id="835" w:name="Tc_MRm0EGIs6ki_GL26WLTykQ_4_0"/>
      <w:bookmarkStart w:id="836" w:name="Tc_cJrw7NSaDk2Um4BeoJl5JQ_3_8"/>
      <w:bookmarkStart w:id="837" w:name="Tc_SNl3J9FkY0KZJl9JWArg-w_3_6"/>
      <w:bookmarkStart w:id="838" w:name="Tc_LCyuBi2BiUiBRYy81KzFHA_3_4"/>
      <w:bookmarkStart w:id="839" w:name="Tc_V9uHW20gbku86NCeXWLbZw_3_2"/>
      <w:bookmarkStart w:id="840" w:name="Tc_8Heco5MKGUilbWvTw7B0aA_2_6"/>
      <w:bookmarkStart w:id="841" w:name="Tc_H7UOiDkA30awAwjJ2XzIGg_2_2"/>
      <w:bookmarkStart w:id="842" w:name="Tc_GxYvSa_KgUadlTwpI1avgA_1_6"/>
      <w:bookmarkStart w:id="843" w:name="Tc_rwmE3mIujUaOrdOCa5RyEQ_1_2"/>
      <w:bookmarkStart w:id="844" w:name="_96798ea8_9e9b_4f57_95e3_d1a8116666a2"/>
      <w:bookmarkEnd w:id="835"/>
      <w:bookmarkEnd w:id="836"/>
      <w:bookmarkEnd w:id="837"/>
      <w:bookmarkEnd w:id="838"/>
      <w:bookmarkEnd w:id="839"/>
      <w:bookmarkEnd w:id="840"/>
      <w:bookmarkEnd w:id="841"/>
      <w:bookmarkEnd w:id="842"/>
      <w:bookmarkEnd w:id="843"/>
      <w:bookmarkEnd w:id="844"/>
      <w:r>
        <w:rPr>
          <w:rFonts w:ascii="Times New Roman;Times;serif" w:hAnsi="Times New Roman;Times;serif"/>
          <w:sz w:val="20"/>
        </w:rPr>
        <w:t>The amounts in the table below were excluded from the calculation of diluted net loss per share, due to their anti-dilutive effect:</w:t>
      </w:r>
    </w:p>
    <w:p>
      <w:pPr>
        <w:pStyle w:val="TextBody"/>
        <w:bidi w:val="0"/>
        <w:spacing w:lineRule="auto" w:line="285" w:before="0" w:after="0"/>
        <w:ind w:left="0" w:right="0" w:firstLine="720"/>
        <w:jc w:val="left"/>
      </w:pPr>
      <w:r>
        <w:t>​</w:t>
      </w:r>
    </w:p>
    <w:tbl>
      <w:tblPr>
        <w:tblW w:w="7705" w:type="dxa"/>
        <w:jc w:val="left"/>
        <w:tblInd w:w="0" w:type="dxa"/>
        <w:tblLayout w:type="fixed"/>
        <w:tblCellMar>
          <w:top w:w="0" w:type="dxa"/>
          <w:left w:w="0" w:type="dxa"/>
          <w:bottom w:w="0" w:type="dxa"/>
          <w:right w:w="0" w:type="dxa"/>
        </w:tblCellMar>
      </w:tblPr>
      <w:tblGrid>
        <w:gridCol w:w="1786"/>
        <w:gridCol w:w="346"/>
        <w:gridCol w:w="1036"/>
        <w:gridCol w:w="346"/>
        <w:gridCol w:w="1036"/>
        <w:gridCol w:w="346"/>
        <w:gridCol w:w="1036"/>
        <w:gridCol w:w="346"/>
        <w:gridCol w:w="1036"/>
        <w:gridCol w:w="391"/>
      </w:tblGrid>
      <w:t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134110" cy="175260"/>
                      <wp:effectExtent l="0" t="0" r="0" b="0"/>
                      <wp:wrapNone/>
                      <wp:docPr id="87" name="Frame87"/>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57860" cy="175260"/>
                      <wp:effectExtent l="0" t="0" r="0" b="0"/>
                      <wp:wrapNone/>
                      <wp:docPr id="89" name="Frame8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57860" cy="175260"/>
                      <wp:effectExtent l="0" t="0" r="0" b="0"/>
                      <wp:wrapNone/>
                      <wp:docPr id="91" name="Frame9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57860" cy="175260"/>
                      <wp:effectExtent l="0" t="0" r="0" b="0"/>
                      <wp:wrapNone/>
                      <wp:docPr id="93" name="Frame9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57860" cy="175260"/>
                      <wp:effectExtent l="0" t="0" r="0" b="0"/>
                      <wp:wrapNone/>
                      <wp:docPr id="95" name="Frame9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48285" cy="175260"/>
                      <wp:effectExtent l="0" t="0" r="0" b="0"/>
                      <wp:wrapNone/>
                      <wp:docPr id="96" name="Frame9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1786"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2418" w:type="dxa"/>
            <w:gridSpan w:val="3"/>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left"/>
            </w:pPr>
            <w:r>
              <w:t>​</w:t>
            </w:r>
          </w:p>
        </w:tc>
        <w:tc>
          <w:tcPr>
            <w:tcW w:w="2418" w:type="dxa"/>
            <w:gridSpan w:val="3"/>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91" w:type="dxa"/>
            <w:tcBorders/>
            <w:vAlign w:val="center"/>
          </w:tcPr>
          <w:p>
            <w:pPr>
              <w:pStyle w:val="TableContents"/>
              <w:bidi w:val="0"/>
              <w:spacing w:lineRule="auto" w:line="285" w:before="0" w:after="0"/>
              <w:ind w:left="0" w:right="0" w:hanging="0"/>
              <w:jc w:val="left"/>
            </w:pPr>
            <w:r>
              <w:t>​</w:t>
            </w:r>
          </w:p>
        </w:tc>
      </w:tr>
      <w:tr>
        <w:tc>
          <w:tcPr>
            <w:tcW w:w="1786"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2418"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lineRule="auto" w:line="285" w:before="0" w:after="0"/>
              <w:ind w:left="0" w:right="0" w:hanging="0"/>
              <w:jc w:val="left"/>
            </w:pPr>
            <w:r>
              <w:t>​</w:t>
            </w:r>
          </w:p>
        </w:tc>
        <w:tc>
          <w:tcPr>
            <w:tcW w:w="2418"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91" w:type="dxa"/>
            <w:tcBorders/>
            <w:vAlign w:val="center"/>
          </w:tcPr>
          <w:p>
            <w:pPr>
              <w:pStyle w:val="TableContents"/>
              <w:bidi w:val="0"/>
              <w:spacing w:lineRule="auto" w:line="285" w:before="0" w:after="0"/>
              <w:ind w:left="0" w:right="0" w:hanging="0"/>
              <w:jc w:val="left"/>
            </w:pPr>
            <w:r>
              <w:t>​</w:t>
            </w:r>
          </w:p>
        </w:tc>
      </w:tr>
      <w:tr>
        <w:tc>
          <w:tcPr>
            <w:tcW w:w="1786"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pPr>
            <w:r>
              <w:t>  ​ ​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pPr>
            <w:r>
              <w:t>  ​ ​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pPr>
            <w:r>
              <w:t>  ​ ​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pPr>
            <w:r>
              <w:t>  ​ ​ ​</w:t>
            </w:r>
          </w:p>
        </w:tc>
      </w:tr>
      <w:tr>
        <w:tc>
          <w:tcPr>
            <w:tcW w:w="17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Outstanding options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13,151,332</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11,453,850</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13,151,332</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11,453,850</w:t>
            </w:r>
          </w:p>
        </w:tc>
        <w:tc>
          <w:tcPr>
            <w:tcW w:w="391" w:type="dxa"/>
            <w:tcBorders/>
            <w:shd w:fill="CCEEFF" w:val="clear"/>
            <w:vAlign w:val="center"/>
          </w:tcPr>
          <w:p>
            <w:pPr>
              <w:pStyle w:val="TableContents"/>
              <w:bidi w:val="0"/>
              <w:spacing w:lineRule="auto" w:line="285" w:before="0" w:after="0"/>
              <w:ind w:left="0" w:right="0" w:hanging="0"/>
              <w:jc w:val="left"/>
            </w:pPr>
            <w:r>
              <w:t>​</w:t>
            </w:r>
          </w:p>
        </w:tc>
      </w:tr>
    </w:tbl>
    <w:p>
      <w:pPr>
        <w:pStyle w:val="TextBody"/>
        <w:bidi w:val="0"/>
        <w:spacing w:lineRule="auto" w:line="285" w:before="0" w:after="0"/>
        <w:ind w:left="0" w:right="0" w:firstLine="720"/>
        <w:jc w:val="left"/>
      </w:pPr>
      <w:r>
        <w:t>​</w:t>
      </w:r>
    </w:p>
    <w:p>
      <w:pPr>
        <w:pStyle w:val="TextBody"/>
        <w:bidi w:val="0"/>
        <w:spacing w:lineRule="auto" w:line="285" w:before="0" w:after="0"/>
        <w:ind w:left="0" w:right="0" w:firstLine="720"/>
        <w:jc w:val="left"/>
      </w:pPr>
      <w:r>
        <w:t>​</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sz w:val="20"/>
        </w:rPr>
      </w:pPr>
      <w:bookmarkStart w:id="845" w:name="Tc_FoKfCDvJlEqwKrhf8y_6Hg_14_11"/>
      <w:bookmarkStart w:id="846" w:name="Tc_yWt9LJVVcUOPKfBf7NsmFQ_14_8"/>
      <w:bookmarkStart w:id="847" w:name="Tc_Flfo_CO28UO-4vLtROfqog_14_5"/>
      <w:bookmarkStart w:id="848" w:name="Tc_XFnX17FTlEqONKlMGVIqtw_14_2"/>
      <w:bookmarkStart w:id="849" w:name="Tc_HaXuuYkjZEC0VgDgKZEh_w_14_0"/>
      <w:bookmarkStart w:id="850" w:name="Tc_wSJy4i80QE6vzrTTjtZN8A_13_0"/>
      <w:bookmarkStart w:id="851" w:name="Tc_PG3Q0z0RbE-zBgCgYFevXQ_12_0"/>
      <w:bookmarkStart w:id="852" w:name="Tc__6HVzUOGxk6jJPyk30yGKg_11_0"/>
      <w:bookmarkStart w:id="853" w:name="Tc_hSI6mbhAf0q78iohwsXUOg_10_0"/>
      <w:bookmarkStart w:id="854" w:name="Tc_ud1giwWAT0KfbJS5GlZYRg_9_0"/>
      <w:bookmarkStart w:id="855" w:name="Tc_5LreXoNg3ESDlca96hvRvg_8_0"/>
      <w:bookmarkStart w:id="856" w:name="Tc_Ygo0u8io_kONgN_0AOcclA_7_0"/>
      <w:bookmarkStart w:id="857" w:name="Tc_tT95Orkl60SL7cb376z9_g_6_0"/>
      <w:bookmarkStart w:id="858" w:name="Tc_NEEXKNu8S06P2b_wa0hD-w_5_0"/>
      <w:bookmarkStart w:id="859" w:name="Tc_5WVTdTCITkyfJvCBOdc0Kw_4_11"/>
      <w:bookmarkStart w:id="860" w:name="Tc_RSv8oRYO1E6PhSKc-GxZ7w_4_8"/>
      <w:bookmarkStart w:id="861" w:name="Tc_YGgunLaFqk6KrqyaTOuraQ_4_5"/>
      <w:bookmarkStart w:id="862" w:name="Tc_ZgEiwCj6NUG0ThAFwu0MHg_4_2"/>
      <w:bookmarkStart w:id="863" w:name="Tc_APkQ1gvlDkaqSVg6bTQleQ_4_0"/>
      <w:bookmarkStart w:id="864" w:name="Tc_K0O07RqBrU-vP2Hmb0Kf_A_3_11"/>
      <w:bookmarkStart w:id="865" w:name="Tc_ySjJU04B8UqzqyE38OtzPA_3_8"/>
      <w:bookmarkStart w:id="866" w:name="Tc_7eSkXVFvC0CC8Pzxaar4EA_3_5"/>
      <w:bookmarkStart w:id="867" w:name="Tc_qDxxlA0Cj0y2-H_eL1HGTQ_3_2"/>
      <w:bookmarkStart w:id="868" w:name="Tc_mjeekTP7NkyxhICYdwPmBQ_2_8"/>
      <w:bookmarkStart w:id="869" w:name="Tc_0j9RVPkZMkypfP8FWLlDsw_2_2"/>
      <w:bookmarkStart w:id="870" w:name="Tc_iU_BbZRnnE2q9DhxqSsmYA_1_8"/>
      <w:bookmarkStart w:id="871" w:name="Tc_rJnh0LhHN0qfXbwgpVVVjQ_1_2"/>
      <w:bookmarkStart w:id="872" w:name="_efaf009d_6ce2_4fcd_a5ec_0e9e40f9e02f"/>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r>
        <w:rPr>
          <w:rFonts w:ascii="Times New Roman;Times;serif" w:hAnsi="Times New Roman;Times;serif"/>
          <w:b/>
          <w:sz w:val="20"/>
        </w:rPr>
        <w:t>4. Segments</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Company views its operations and manages its business in one operating segment, that of the development and commercialization of drugs and antibodies that target critical elements of the immune system. The Company’s Chief Operating Decision Maker (“CODM”) is made up of the Chief Executive Officer and Chief Financial Officer. The CODM assesses performance for the segment and decides how to allocate resources based on consolidated net loss that is reported on the consolidated statement of operations and comprehensive loss. The measure of segment assets is reported on the balance sheet as total consolidated assets. Managing and allocating resources on a consolidated basis enables the CODM to assess the overall level of resources available and how to best deploy these resources across functions and programs that are in line with the Company’s long-term company-wide strategic goals.</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reportable segment net loss, including significant expense categories, attributable to the Company’s reportable segment for the three and nine months ended September 30, 2026 and 2025 (in thousands):</w:t>
      </w:r>
    </w:p>
    <w:p>
      <w:pPr>
        <w:pStyle w:val="TextBody"/>
        <w:bidi w:val="0"/>
        <w:spacing w:lineRule="auto" w:line="285"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4979"/>
        <w:gridCol w:w="346"/>
        <w:gridCol w:w="211"/>
        <w:gridCol w:w="689"/>
        <w:gridCol w:w="346"/>
        <w:gridCol w:w="211"/>
        <w:gridCol w:w="676"/>
        <w:gridCol w:w="109"/>
        <w:gridCol w:w="211"/>
        <w:gridCol w:w="689"/>
        <w:gridCol w:w="346"/>
        <w:gridCol w:w="211"/>
        <w:gridCol w:w="789"/>
        <w:gridCol w:w="392"/>
      </w:tblGrid>
      <w:tr>
        <w:tc>
          <w:tcPr>
            <w:tcW w:w="4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161665" cy="175260"/>
                      <wp:effectExtent l="0" t="0" r="0" b="0"/>
                      <wp:wrapNone/>
                      <wp:docPr id="97" name="Frame97"/>
                      <a:graphic xmlns:a="http://schemas.openxmlformats.org/drawingml/2006/main">
                        <a:graphicData uri="http://schemas.microsoft.com/office/word/2010/wordprocessingShape">
                          <wps:wsp>
                            <wps:cNvSpPr txBox="1"/>
                            <wps:spPr>
                              <a:xfrm>
                                <a:off x="0" y="0"/>
                                <a:ext cx="316166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37515" cy="175260"/>
                      <wp:effectExtent l="0" t="0" r="0" b="0"/>
                      <wp:wrapNone/>
                      <wp:docPr id="100" name="Frame100"/>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29260" cy="175260"/>
                      <wp:effectExtent l="0" t="0" r="0" b="0"/>
                      <wp:wrapNone/>
                      <wp:docPr id="103" name="Frame1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04"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37515" cy="175260"/>
                      <wp:effectExtent l="0" t="0" r="0" b="0"/>
                      <wp:wrapNone/>
                      <wp:docPr id="106" name="Frame106"/>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01015" cy="175260"/>
                      <wp:effectExtent l="0" t="0" r="0" b="0"/>
                      <wp:wrapNone/>
                      <wp:docPr id="109" name="Frame109"/>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48920" cy="175260"/>
                      <wp:effectExtent l="0" t="0" r="0" b="0"/>
                      <wp:wrapNone/>
                      <wp:docPr id="110" name="Frame110"/>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4979"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2133"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lineRule="auto" w:line="285" w:before="0" w:after="0"/>
              <w:ind w:left="0" w:right="0" w:hanging="0"/>
              <w:jc w:val="center"/>
            </w:pPr>
            <w:r>
              <w:t>​</w:t>
            </w:r>
          </w:p>
        </w:tc>
        <w:tc>
          <w:tcPr>
            <w:tcW w:w="2246"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92" w:type="dxa"/>
            <w:tcBorders/>
            <w:vAlign w:val="center"/>
          </w:tcPr>
          <w:p>
            <w:pPr>
              <w:pStyle w:val="TableContents"/>
              <w:bidi w:val="0"/>
              <w:spacing w:lineRule="auto" w:line="285" w:before="0" w:after="0"/>
              <w:ind w:left="0" w:right="0" w:hanging="0"/>
              <w:jc w:val="left"/>
            </w:pPr>
            <w:r>
              <w:t>​</w:t>
            </w:r>
          </w:p>
        </w:tc>
      </w:tr>
      <w:tr>
        <w:tc>
          <w:tcPr>
            <w:tcW w:w="4979"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213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lineRule="auto" w:line="285" w:before="0" w:after="0"/>
              <w:ind w:left="0" w:right="0" w:hanging="0"/>
              <w:jc w:val="center"/>
            </w:pPr>
            <w:r>
              <w:t>​</w:t>
            </w:r>
          </w:p>
        </w:tc>
        <w:tc>
          <w:tcPr>
            <w:tcW w:w="2246"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92" w:type="dxa"/>
            <w:tcBorders/>
            <w:vAlign w:val="center"/>
          </w:tcPr>
          <w:p>
            <w:pPr>
              <w:pStyle w:val="TableContents"/>
              <w:bidi w:val="0"/>
              <w:spacing w:lineRule="auto" w:line="285" w:before="0" w:after="0"/>
              <w:ind w:left="0" w:right="0" w:hanging="0"/>
              <w:jc w:val="left"/>
            </w:pPr>
            <w:r>
              <w:t>​</w:t>
            </w:r>
          </w:p>
        </w:tc>
      </w:tr>
      <w:tr>
        <w:tc>
          <w:tcPr>
            <w:tcW w:w="4979"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lineRule="auto" w:line="285" w:before="0" w:after="0"/>
              <w:ind w:left="0" w:right="0" w:hanging="0"/>
              <w:jc w:val="center"/>
            </w:pPr>
            <w:r>
              <w:t>​</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pPr>
            <w:r>
              <w:t>  ​ ​ ​</w:t>
            </w:r>
          </w:p>
        </w:tc>
        <w:tc>
          <w:tcPr>
            <w:tcW w:w="10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2" w:type="dxa"/>
            <w:tcBorders/>
            <w:vAlign w:val="center"/>
          </w:tcPr>
          <w:p>
            <w:pPr>
              <w:pStyle w:val="TableContents"/>
              <w:bidi w:val="0"/>
              <w:spacing w:lineRule="auto" w:line="285" w:before="0" w:after="0"/>
              <w:ind w:left="0" w:right="0" w:hanging="0"/>
              <w:jc w:val="left"/>
            </w:pPr>
            <w:r>
              <w:t>  ​ ​ ​</w:t>
            </w:r>
          </w:p>
        </w:tc>
      </w:tr>
      <w:tr>
        <w:tc>
          <w:tcPr>
            <w:tcW w:w="497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benefits, excluding stock-based compensation</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3,123</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2,180</w:t>
            </w:r>
          </w:p>
        </w:tc>
        <w:tc>
          <w:tcPr>
            <w:tcW w:w="109" w:type="dxa"/>
            <w:tcBorders/>
            <w:shd w:fill="CCEEFF" w:val="clear"/>
            <w:vAlign w:val="center"/>
          </w:tcPr>
          <w:p>
            <w:pPr>
              <w:pStyle w:val="TableContents"/>
              <w:bidi w:val="0"/>
              <w:spacing w:lineRule="auto" w:line="285" w:before="0" w:after="0"/>
              <w:ind w:left="0" w:right="0" w:hanging="0"/>
              <w:jc w:val="righ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9,297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6,563</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497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w:t>
            </w:r>
          </w:p>
        </w:tc>
        <w:tc>
          <w:tcPr>
            <w:tcW w:w="6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2,829</w:t>
            </w:r>
          </w:p>
        </w:tc>
        <w:tc>
          <w:tcPr>
            <w:tcW w:w="346" w:type="dxa"/>
            <w:tcBorders/>
            <w:vAlign w:val="center"/>
          </w:tcPr>
          <w:p>
            <w:pPr>
              <w:pStyle w:val="TableContents"/>
              <w:bidi w:val="0"/>
              <w:spacing w:lineRule="auto" w:line="285" w:before="0" w:after="0"/>
              <w:ind w:left="0" w:right="0" w:hanging="0"/>
              <w:jc w:val="left"/>
            </w:pPr>
            <w:r>
              <w:t> </w:t>
            </w:r>
          </w:p>
        </w:tc>
        <w:tc>
          <w:tcPr>
            <w:tcW w:w="211" w:type="dxa"/>
            <w:tcBorders/>
            <w:vAlign w:val="center"/>
          </w:tcPr>
          <w:p>
            <w:pPr>
              <w:pStyle w:val="TableContents"/>
              <w:bidi w:val="0"/>
              <w:spacing w:lineRule="auto" w:line="285" w:before="0" w:after="0"/>
              <w:ind w:left="0" w:right="0" w:hanging="0"/>
              <w:jc w:val="left"/>
            </w:pPr>
            <w: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1,249</w:t>
            </w:r>
          </w:p>
        </w:tc>
        <w:tc>
          <w:tcPr>
            <w:tcW w:w="109" w:type="dxa"/>
            <w:tcBorders/>
            <w:vAlign w:val="center"/>
          </w:tcPr>
          <w:p>
            <w:pPr>
              <w:pStyle w:val="TableContents"/>
              <w:bidi w:val="0"/>
              <w:spacing w:lineRule="auto" w:line="285" w:before="0" w:after="0"/>
              <w:ind w:left="0" w:right="0" w:hanging="0"/>
              <w:jc w:val="right"/>
            </w:pPr>
            <w:r>
              <w:t>​</w:t>
            </w:r>
          </w:p>
        </w:tc>
        <w:tc>
          <w:tcPr>
            <w:tcW w:w="211" w:type="dxa"/>
            <w:tcBorders/>
            <w:vAlign w:val="center"/>
          </w:tcPr>
          <w:p>
            <w:pPr>
              <w:pStyle w:val="TableContents"/>
              <w:bidi w:val="0"/>
              <w:spacing w:lineRule="auto" w:line="285" w:before="0" w:after="0"/>
              <w:ind w:left="0" w:right="0" w:hanging="0"/>
              <w:jc w:val="left"/>
            </w:pPr>
            <w:r>
              <w:t>​</w:t>
            </w:r>
          </w:p>
        </w:tc>
        <w:tc>
          <w:tcPr>
            <w:tcW w:w="6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8,088</w:t>
            </w:r>
          </w:p>
        </w:tc>
        <w:tc>
          <w:tcPr>
            <w:tcW w:w="346" w:type="dxa"/>
            <w:tcBorders/>
            <w:vAlign w:val="center"/>
          </w:tcPr>
          <w:p>
            <w:pPr>
              <w:pStyle w:val="TableContents"/>
              <w:bidi w:val="0"/>
              <w:spacing w:lineRule="auto" w:line="285" w:before="0" w:after="0"/>
              <w:ind w:left="0" w:right="0" w:hanging="0"/>
              <w:jc w:val="left"/>
            </w:pPr>
            <w:r>
              <w:t> </w:t>
            </w:r>
          </w:p>
        </w:tc>
        <w:tc>
          <w:tcPr>
            <w:tcW w:w="211" w:type="dxa"/>
            <w:tcBorders/>
            <w:vAlign w:val="center"/>
          </w:tcPr>
          <w:p>
            <w:pPr>
              <w:pStyle w:val="TableContents"/>
              <w:bidi w:val="0"/>
              <w:spacing w:lineRule="auto" w:line="285" w:before="0" w:after="0"/>
              <w:ind w:left="0" w:right="0" w:hanging="0"/>
              <w:jc w:val="left"/>
            </w:pPr>
            <w:r>
              <w:t>​</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3,756</w:t>
            </w:r>
          </w:p>
        </w:tc>
        <w:tc>
          <w:tcPr>
            <w:tcW w:w="392" w:type="dxa"/>
            <w:tcBorders/>
            <w:vAlign w:val="center"/>
          </w:tcPr>
          <w:p>
            <w:pPr>
              <w:pStyle w:val="TableContents"/>
              <w:bidi w:val="0"/>
              <w:spacing w:lineRule="auto" w:line="285" w:before="0" w:after="0"/>
              <w:ind w:left="0" w:right="0" w:hanging="0"/>
              <w:jc w:val="left"/>
            </w:pPr>
            <w:r>
              <w:t>​</w:t>
            </w:r>
          </w:p>
        </w:tc>
      </w:tr>
      <w:tr>
        <w:tc>
          <w:tcPr>
            <w:tcW w:w="497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Drug manufacturing</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6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2,541</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2,277</w:t>
            </w:r>
          </w:p>
        </w:tc>
        <w:tc>
          <w:tcPr>
            <w:tcW w:w="109" w:type="dxa"/>
            <w:tcBorders/>
            <w:shd w:fill="CCEEFF" w:val="clear"/>
            <w:vAlign w:val="center"/>
          </w:tcPr>
          <w:p>
            <w:pPr>
              <w:pStyle w:val="TableContents"/>
              <w:bidi w:val="0"/>
              <w:spacing w:lineRule="auto" w:line="285" w:before="0" w:after="0"/>
              <w:ind w:left="0" w:right="0" w:hanging="0"/>
              <w:jc w:val="righ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6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5,413</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7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5,957</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497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Clinical trials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w:t>
            </w:r>
          </w:p>
        </w:tc>
        <w:tc>
          <w:tcPr>
            <w:tcW w:w="6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6,176</w:t>
            </w:r>
          </w:p>
        </w:tc>
        <w:tc>
          <w:tcPr>
            <w:tcW w:w="346" w:type="dxa"/>
            <w:tcBorders/>
            <w:vAlign w:val="center"/>
          </w:tcPr>
          <w:p>
            <w:pPr>
              <w:pStyle w:val="TableContents"/>
              <w:bidi w:val="0"/>
              <w:spacing w:lineRule="auto" w:line="285" w:before="0" w:after="0"/>
              <w:ind w:left="0" w:right="0" w:hanging="0"/>
              <w:jc w:val="left"/>
            </w:pPr>
            <w:r>
              <w:t> </w:t>
            </w:r>
          </w:p>
        </w:tc>
        <w:tc>
          <w:tcPr>
            <w:tcW w:w="211" w:type="dxa"/>
            <w:tcBorders/>
            <w:vAlign w:val="center"/>
          </w:tcPr>
          <w:p>
            <w:pPr>
              <w:pStyle w:val="TableContents"/>
              <w:bidi w:val="0"/>
              <w:spacing w:lineRule="auto" w:line="285" w:before="0" w:after="0"/>
              <w:ind w:left="0" w:right="0" w:hanging="0"/>
              <w:jc w:val="left"/>
            </w:pPr>
            <w: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2,335</w:t>
            </w:r>
          </w:p>
        </w:tc>
        <w:tc>
          <w:tcPr>
            <w:tcW w:w="109" w:type="dxa"/>
            <w:tcBorders/>
            <w:vAlign w:val="center"/>
          </w:tcPr>
          <w:p>
            <w:pPr>
              <w:pStyle w:val="TableContents"/>
              <w:bidi w:val="0"/>
              <w:spacing w:lineRule="auto" w:line="285" w:before="0" w:after="0"/>
              <w:ind w:left="0" w:right="0" w:hanging="0"/>
              <w:jc w:val="right"/>
            </w:pPr>
            <w:r>
              <w:t>​</w:t>
            </w:r>
          </w:p>
        </w:tc>
        <w:tc>
          <w:tcPr>
            <w:tcW w:w="211" w:type="dxa"/>
            <w:tcBorders/>
            <w:vAlign w:val="center"/>
          </w:tcPr>
          <w:p>
            <w:pPr>
              <w:pStyle w:val="TableContents"/>
              <w:bidi w:val="0"/>
              <w:spacing w:lineRule="auto" w:line="285" w:before="0" w:after="0"/>
              <w:ind w:left="0" w:right="0" w:hanging="0"/>
              <w:jc w:val="left"/>
            </w:pPr>
            <w:r>
              <w:t>​</w:t>
            </w:r>
          </w:p>
        </w:tc>
        <w:tc>
          <w:tcPr>
            <w:tcW w:w="6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16,630</w:t>
            </w:r>
          </w:p>
        </w:tc>
        <w:tc>
          <w:tcPr>
            <w:tcW w:w="346" w:type="dxa"/>
            <w:tcBorders/>
            <w:vAlign w:val="center"/>
          </w:tcPr>
          <w:p>
            <w:pPr>
              <w:pStyle w:val="TableContents"/>
              <w:bidi w:val="0"/>
              <w:spacing w:lineRule="auto" w:line="285" w:before="0" w:after="0"/>
              <w:ind w:left="0" w:right="0" w:hanging="0"/>
              <w:jc w:val="left"/>
            </w:pPr>
            <w:r>
              <w:t> </w:t>
            </w:r>
          </w:p>
        </w:tc>
        <w:tc>
          <w:tcPr>
            <w:tcW w:w="211" w:type="dxa"/>
            <w:tcBorders/>
            <w:vAlign w:val="center"/>
          </w:tcPr>
          <w:p>
            <w:pPr>
              <w:pStyle w:val="TableContents"/>
              <w:bidi w:val="0"/>
              <w:spacing w:lineRule="auto" w:line="285" w:before="0" w:after="0"/>
              <w:ind w:left="0" w:right="0" w:hanging="0"/>
              <w:jc w:val="left"/>
            </w:pPr>
            <w:r>
              <w:t>​</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6,396</w:t>
            </w:r>
          </w:p>
        </w:tc>
        <w:tc>
          <w:tcPr>
            <w:tcW w:w="392" w:type="dxa"/>
            <w:tcBorders/>
            <w:vAlign w:val="center"/>
          </w:tcPr>
          <w:p>
            <w:pPr>
              <w:pStyle w:val="TableContents"/>
              <w:bidi w:val="0"/>
              <w:spacing w:lineRule="auto" w:line="285" w:before="0" w:after="0"/>
              <w:ind w:left="0" w:right="0" w:hanging="0"/>
              <w:jc w:val="left"/>
            </w:pPr>
            <w:r>
              <w:t>​</w:t>
            </w:r>
          </w:p>
        </w:tc>
      </w:tr>
      <w:tr>
        <w:tc>
          <w:tcPr>
            <w:tcW w:w="497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other development (1)</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6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3,730</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636</w:t>
            </w:r>
          </w:p>
        </w:tc>
        <w:tc>
          <w:tcPr>
            <w:tcW w:w="109" w:type="dxa"/>
            <w:tcBorders/>
            <w:shd w:fill="CCEEFF" w:val="clear"/>
            <w:vAlign w:val="center"/>
          </w:tcPr>
          <w:p>
            <w:pPr>
              <w:pStyle w:val="TableContents"/>
              <w:bidi w:val="0"/>
              <w:spacing w:lineRule="auto" w:line="285" w:before="0" w:after="0"/>
              <w:ind w:left="0" w:right="0" w:hanging="0"/>
              <w:jc w:val="righ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6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7,722</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7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1,520</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497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Outside general and administrative</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w:t>
            </w:r>
          </w:p>
        </w:tc>
        <w:tc>
          <w:tcPr>
            <w:tcW w:w="6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1,037</w:t>
            </w:r>
          </w:p>
        </w:tc>
        <w:tc>
          <w:tcPr>
            <w:tcW w:w="346" w:type="dxa"/>
            <w:tcBorders/>
            <w:vAlign w:val="center"/>
          </w:tcPr>
          <w:p>
            <w:pPr>
              <w:pStyle w:val="TableContents"/>
              <w:bidi w:val="0"/>
              <w:spacing w:lineRule="auto" w:line="285" w:before="0" w:after="0"/>
              <w:ind w:left="0" w:right="0" w:hanging="0"/>
              <w:jc w:val="left"/>
            </w:pPr>
            <w:r>
              <w:t> </w:t>
            </w:r>
          </w:p>
        </w:tc>
        <w:tc>
          <w:tcPr>
            <w:tcW w:w="211" w:type="dxa"/>
            <w:tcBorders/>
            <w:vAlign w:val="center"/>
          </w:tcPr>
          <w:p>
            <w:pPr>
              <w:pStyle w:val="TableContents"/>
              <w:bidi w:val="0"/>
              <w:spacing w:lineRule="auto" w:line="285" w:before="0" w:after="0"/>
              <w:ind w:left="0" w:right="0" w:hanging="0"/>
              <w:jc w:val="left"/>
            </w:pPr>
            <w: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617</w:t>
            </w:r>
          </w:p>
        </w:tc>
        <w:tc>
          <w:tcPr>
            <w:tcW w:w="109" w:type="dxa"/>
            <w:tcBorders/>
            <w:vAlign w:val="center"/>
          </w:tcPr>
          <w:p>
            <w:pPr>
              <w:pStyle w:val="TableContents"/>
              <w:bidi w:val="0"/>
              <w:spacing w:lineRule="auto" w:line="285" w:before="0" w:after="0"/>
              <w:ind w:left="0" w:right="0" w:hanging="0"/>
              <w:jc w:val="right"/>
            </w:pPr>
            <w:r>
              <w:t>​</w:t>
            </w:r>
          </w:p>
        </w:tc>
        <w:tc>
          <w:tcPr>
            <w:tcW w:w="211" w:type="dxa"/>
            <w:tcBorders/>
            <w:vAlign w:val="center"/>
          </w:tcPr>
          <w:p>
            <w:pPr>
              <w:pStyle w:val="TableContents"/>
              <w:bidi w:val="0"/>
              <w:spacing w:lineRule="auto" w:line="285" w:before="0" w:after="0"/>
              <w:ind w:left="0" w:right="0" w:hanging="0"/>
              <w:jc w:val="left"/>
            </w:pPr>
            <w:r>
              <w:t>​</w:t>
            </w:r>
          </w:p>
        </w:tc>
        <w:tc>
          <w:tcPr>
            <w:tcW w:w="6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3,187</w:t>
            </w:r>
          </w:p>
        </w:tc>
        <w:tc>
          <w:tcPr>
            <w:tcW w:w="346" w:type="dxa"/>
            <w:tcBorders/>
            <w:vAlign w:val="center"/>
          </w:tcPr>
          <w:p>
            <w:pPr>
              <w:pStyle w:val="TableContents"/>
              <w:bidi w:val="0"/>
              <w:spacing w:lineRule="auto" w:line="285" w:before="0" w:after="0"/>
              <w:ind w:left="0" w:right="0" w:hanging="0"/>
              <w:jc w:val="left"/>
            </w:pPr>
            <w:r>
              <w:t> </w:t>
            </w:r>
          </w:p>
        </w:tc>
        <w:tc>
          <w:tcPr>
            <w:tcW w:w="211" w:type="dxa"/>
            <w:tcBorders/>
            <w:vAlign w:val="center"/>
          </w:tcPr>
          <w:p>
            <w:pPr>
              <w:pStyle w:val="TableContents"/>
              <w:bidi w:val="0"/>
              <w:spacing w:lineRule="auto" w:line="285" w:before="0" w:after="0"/>
              <w:ind w:left="0" w:right="0" w:hanging="0"/>
              <w:jc w:val="left"/>
            </w:pPr>
            <w:r>
              <w:t>​</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2,412</w:t>
            </w:r>
          </w:p>
        </w:tc>
        <w:tc>
          <w:tcPr>
            <w:tcW w:w="392" w:type="dxa"/>
            <w:tcBorders/>
            <w:vAlign w:val="center"/>
          </w:tcPr>
          <w:p>
            <w:pPr>
              <w:pStyle w:val="TableContents"/>
              <w:bidi w:val="0"/>
              <w:spacing w:lineRule="auto" w:line="285" w:before="0" w:after="0"/>
              <w:ind w:left="0" w:right="0" w:hanging="0"/>
              <w:jc w:val="left"/>
            </w:pPr>
            <w:r>
              <w:t>​</w:t>
            </w:r>
          </w:p>
        </w:tc>
      </w:tr>
      <w:tr>
        <w:tc>
          <w:tcPr>
            <w:tcW w:w="497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Facilities and insurance</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6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718</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109" w:type="dxa"/>
            <w:tcBorders/>
            <w:shd w:fill="CCEEFF" w:val="clear"/>
            <w:vAlign w:val="center"/>
          </w:tcPr>
          <w:p>
            <w:pPr>
              <w:pStyle w:val="TableContents"/>
              <w:bidi w:val="0"/>
              <w:spacing w:lineRule="auto" w:line="285" w:before="0" w:after="0"/>
              <w:ind w:left="0" w:right="0" w:hanging="0"/>
              <w:jc w:val="righ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6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1,906</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7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1,771</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497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segment items (2)</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6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1,208</w:t>
            </w:r>
          </w:p>
        </w:tc>
        <w:tc>
          <w:tcPr>
            <w:tcW w:w="346" w:type="dxa"/>
            <w:tcBorders/>
            <w:vAlign w:val="center"/>
          </w:tcPr>
          <w:p>
            <w:pPr>
              <w:pStyle w:val="TableContents"/>
              <w:bidi w:val="0"/>
              <w:spacing w:lineRule="auto" w:line="285" w:before="0" w:after="0"/>
              <w:ind w:left="0" w:right="0" w:hanging="0"/>
              <w:jc w:val="left"/>
            </w:pPr>
            <w: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791</w:t>
            </w:r>
          </w:p>
        </w:tc>
        <w:tc>
          <w:tcPr>
            <w:tcW w:w="109" w:type="dxa"/>
            <w:tcBorders/>
            <w:vAlign w:val="center"/>
          </w:tcPr>
          <w:p>
            <w:pPr>
              <w:pStyle w:val="TableContents"/>
              <w:bidi w:val="0"/>
              <w:spacing w:lineRule="auto" w:line="285" w:before="0" w:after="0"/>
              <w:ind w:left="0" w:right="0" w:hanging="0"/>
              <w:jc w:val="righ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6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3,293</w:t>
            </w:r>
          </w:p>
        </w:tc>
        <w:tc>
          <w:tcPr>
            <w:tcW w:w="346" w:type="dxa"/>
            <w:tcBorders/>
            <w:vAlign w:val="center"/>
          </w:tcPr>
          <w:p>
            <w:pPr>
              <w:pStyle w:val="TableContents"/>
              <w:bidi w:val="0"/>
              <w:spacing w:lineRule="auto" w:line="285" w:before="0" w:after="0"/>
              <w:ind w:left="0" w:right="0" w:hanging="0"/>
              <w:jc w:val="left"/>
            </w:pPr>
            <w: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2,379</w:t>
            </w:r>
          </w:p>
        </w:tc>
        <w:tc>
          <w:tcPr>
            <w:tcW w:w="392" w:type="dxa"/>
            <w:tcBorders/>
            <w:vAlign w:val="center"/>
          </w:tcPr>
          <w:p>
            <w:pPr>
              <w:pStyle w:val="TableContents"/>
              <w:bidi w:val="0"/>
              <w:spacing w:lineRule="auto" w:line="285" w:before="0" w:after="0"/>
              <w:ind w:left="0" w:right="0" w:hanging="0"/>
              <w:jc w:val="left"/>
            </w:pPr>
            <w:r>
              <w:t>​</w:t>
            </w:r>
          </w:p>
        </w:tc>
      </w:tr>
      <w:tr>
        <w:tc>
          <w:tcPr>
            <w:tcW w:w="497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segment expense</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6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21,362</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10,572</w:t>
            </w:r>
          </w:p>
        </w:tc>
        <w:tc>
          <w:tcPr>
            <w:tcW w:w="109" w:type="dxa"/>
            <w:tcBorders/>
            <w:shd w:fill="CCEEFF" w:val="clear"/>
            <w:vAlign w:val="center"/>
          </w:tcPr>
          <w:p>
            <w:pPr>
              <w:pStyle w:val="TableContents"/>
              <w:bidi w:val="0"/>
              <w:spacing w:lineRule="auto" w:line="285" w:before="0" w:after="0"/>
              <w:ind w:left="0" w:right="0" w:hanging="0"/>
              <w:jc w:val="righ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6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55,536</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7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30,754</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497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Non-operating income, net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6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(1,019)</w:t>
            </w:r>
          </w:p>
        </w:tc>
        <w:tc>
          <w:tcPr>
            <w:tcW w:w="346" w:type="dxa"/>
            <w:tcBorders/>
            <w:vAlign w:val="center"/>
          </w:tcPr>
          <w:p>
            <w:pPr>
              <w:pStyle w:val="TableContents"/>
              <w:bidi w:val="0"/>
              <w:spacing w:lineRule="auto" w:line="285" w:before="0" w:after="0"/>
              <w:ind w:left="0" w:right="0" w:hanging="0"/>
              <w:jc w:val="left"/>
            </w:pPr>
            <w: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109" w:type="dxa"/>
            <w:tcBorders/>
            <w:vAlign w:val="center"/>
          </w:tcPr>
          <w:p>
            <w:pPr>
              <w:pStyle w:val="TableContents"/>
              <w:bidi w:val="0"/>
              <w:spacing w:lineRule="auto" w:line="285" w:before="0" w:after="0"/>
              <w:ind w:left="0" w:right="0" w:hanging="0"/>
              <w:jc w:val="righ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6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(3,542)</w:t>
            </w:r>
          </w:p>
        </w:tc>
        <w:tc>
          <w:tcPr>
            <w:tcW w:w="346" w:type="dxa"/>
            <w:tcBorders/>
            <w:vAlign w:val="center"/>
          </w:tcPr>
          <w:p>
            <w:pPr>
              <w:pStyle w:val="TableContents"/>
              <w:bidi w:val="0"/>
              <w:spacing w:lineRule="auto" w:line="285" w:before="0" w:after="0"/>
              <w:ind w:left="0" w:right="0" w:hanging="0"/>
              <w:jc w:val="left"/>
            </w:pPr>
            <w: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(27,792)</w:t>
            </w:r>
          </w:p>
        </w:tc>
        <w:tc>
          <w:tcPr>
            <w:tcW w:w="392" w:type="dxa"/>
            <w:tcBorders/>
            <w:vAlign w:val="center"/>
          </w:tcPr>
          <w:p>
            <w:pPr>
              <w:pStyle w:val="TableContents"/>
              <w:bidi w:val="0"/>
              <w:spacing w:lineRule="auto" w:line="285" w:before="0" w:after="0"/>
              <w:ind w:left="0" w:right="0" w:hanging="0"/>
              <w:jc w:val="left"/>
            </w:pPr>
            <w:r>
              <w:t>​</w:t>
            </w:r>
          </w:p>
        </w:tc>
      </w:tr>
      <w:tr>
        <w:tc>
          <w:tcPr>
            <w:tcW w:w="497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20,343</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10,157</w:t>
            </w:r>
          </w:p>
        </w:tc>
        <w:tc>
          <w:tcPr>
            <w:tcW w:w="109" w:type="dxa"/>
            <w:tcBorders/>
            <w:shd w:fill="CCEEFF" w:val="clear"/>
            <w:vAlign w:val="center"/>
          </w:tcPr>
          <w:p>
            <w:pPr>
              <w:pStyle w:val="TableContents"/>
              <w:bidi w:val="0"/>
              <w:spacing w:lineRule="auto" w:line="285" w:before="0" w:after="0"/>
              <w:ind w:left="0" w:right="0" w:hanging="0"/>
              <w:jc w:val="righ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51,994</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2,962</w:t>
            </w:r>
          </w:p>
        </w:tc>
        <w:tc>
          <w:tcPr>
            <w:tcW w:w="392" w:type="dxa"/>
            <w:tcBorders/>
            <w:shd w:fill="CCEEFF" w:val="clear"/>
            <w:vAlign w:val="center"/>
          </w:tcPr>
          <w:p>
            <w:pPr>
              <w:pStyle w:val="TableContents"/>
              <w:bidi w:val="0"/>
              <w:spacing w:lineRule="auto" w:line="285" w:before="0" w:after="0"/>
              <w:ind w:left="0" w:right="0" w:hanging="0"/>
              <w:jc w:val="left"/>
            </w:pPr>
            <w:r>
              <w:t>​</w:t>
            </w:r>
          </w:p>
        </w:tc>
      </w:tr>
    </w:tbl>
    <w:tbl>
      <w:tblPr>
        <w:tblW w:w="10205" w:type="dxa"/>
        <w:jc w:val="left"/>
        <w:tblInd w:w="0" w:type="dxa"/>
        <w:tblLayout w:type="fixed"/>
        <w:tblCellMar>
          <w:top w:w="0" w:type="dxa"/>
          <w:left w:w="0" w:type="dxa"/>
          <w:bottom w:w="0" w:type="dxa"/>
          <w:right w:w="0" w:type="dxa"/>
        </w:tblCellMar>
      </w:tblPr>
      <w:tblGrid>
        <w:gridCol w:w="289"/>
        <w:gridCol w:w="9916"/>
      </w:tblGrid>
      <w:tr>
        <w:tc>
          <w:tcPr>
            <w:tcW w:w="28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During the three and nine months ended September 30, 2026, the Company separately presented research and other development expenses due to increased spending in this category. These expenses were previously included in other segment items. Prior period amounts have been reclassified to conform to the current period presentation. These reclassifications had no impact on previously reported net loss.</w:t>
            </w:r>
          </w:p>
        </w:tc>
      </w:tr>
    </w:tbl>
    <w:tbl>
      <w:tblPr>
        <w:tblW w:w="3602" w:type="dxa"/>
        <w:jc w:val="left"/>
        <w:tblInd w:w="0" w:type="dxa"/>
        <w:tblLayout w:type="fixed"/>
        <w:tblCellMar>
          <w:top w:w="0" w:type="dxa"/>
          <w:left w:w="0" w:type="dxa"/>
          <w:bottom w:w="0" w:type="dxa"/>
          <w:right w:w="0" w:type="dxa"/>
        </w:tblCellMar>
      </w:tblPr>
      <w:tblGrid>
        <w:gridCol w:w="331"/>
        <w:gridCol w:w="3271"/>
      </w:tblGrid>
      <w:t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32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consulting and laboratory supplies.</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5. Fair Value Measurements</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Financial assets and liabilities are measured and recorded at fair value. The Company is required to disclose information on all assets and liabilities reported at fair value that enables an assessment of the inputs used in determining the reported fair values. The fair value hierarchy prioritizes valuation inputs based on the observable nature of those inputs. The fair value hierarchy applies only to the valuation inputs used in determining the reported fair value of the investments and is not a measure of the investment credit quality. The hierarchy defines three levels of valuation inputs:</w:t>
      </w:r>
    </w:p>
    <w:p>
      <w:pPr>
        <w:pStyle w:val="TextBody"/>
        <w:bidi w:val="0"/>
        <w:spacing w:lineRule="auto" w:line="285" w:before="0" w:after="0"/>
        <w:ind w:left="0" w:right="0" w:hanging="0"/>
        <w:jc w:val="left"/>
      </w:pPr>
      <w:r>
        <w:t>​</w:t>
      </w:r>
    </w:p>
    <w:tbl>
      <w:tblPr>
        <w:tblW w:w="6471" w:type="dxa"/>
        <w:jc w:val="left"/>
        <w:tblInd w:w="0" w:type="dxa"/>
        <w:tblLayout w:type="fixed"/>
        <w:tblCellMar>
          <w:top w:w="28" w:type="dxa"/>
          <w:left w:w="28" w:type="dxa"/>
          <w:bottom w:w="28" w:type="dxa"/>
          <w:right w:w="28" w:type="dxa"/>
        </w:tblCellMar>
      </w:tblPr>
      <w:tblGrid>
        <w:gridCol w:w="124"/>
        <w:gridCol w:w="256"/>
        <w:gridCol w:w="609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1—Quoted prices in active markets for identical assets or liabilities</w:t>
            </w:r>
          </w:p>
        </w:tc>
      </w:tr>
    </w:tbl>
    <w:p>
      <w:pPr>
        <w:pStyle w:val="TextBody"/>
        <w:bidi w:val="0"/>
        <w:spacing w:lineRule="auto" w:line="285" w:before="0" w:after="0"/>
        <w:ind w:left="720" w:right="0" w:firstLine="720"/>
        <w:jc w:val="left"/>
      </w:pPr>
      <w: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73" w:name="Tc_w4sltsp0Akqwmy6svl84fA_7_11"/>
      <w:bookmarkStart w:id="874" w:name="Tc_v1zzfW1XpEeuIWVJgZrqYw_7_9"/>
      <w:bookmarkStart w:id="875" w:name="Tc_dFTYOMhebUukDFZr8QqHXg_7_8"/>
      <w:bookmarkStart w:id="876" w:name="Tc_3LZgggwbKkeUbpk23LqSJA_7_5"/>
      <w:bookmarkStart w:id="877" w:name="Tc_3A-KKeXRukSidCUJ6HlWDg_7_2"/>
      <w:bookmarkStart w:id="878" w:name="Tc_bB5WWHbtakKPNadAFtwsWQ_6_9"/>
      <w:bookmarkStart w:id="879" w:name="Tc_7N5FO35OFkecq_OWWLZ4CQ_6_0"/>
      <w:bookmarkStart w:id="880" w:name="Tc_5XVbgtCNTUuOJm5AQlVqvw_5_11"/>
      <w:bookmarkStart w:id="881" w:name="Tc_M4ft6xiBhkWS2zauzm76dQ_5_9"/>
      <w:bookmarkStart w:id="882" w:name="Tc_tOUke_jB4EiS9QwGK05jvQ_5_8"/>
      <w:bookmarkStart w:id="883" w:name="Tc_e1-UgYR4L0u91ggDwL7ZsQ_5_5"/>
      <w:bookmarkStart w:id="884" w:name="Tc_Jlc-oAM14ESTfHoOERG-6w_5_2"/>
      <w:bookmarkStart w:id="885" w:name="Tc_UiIBeaxCu0WFvgLto0qGwg_5_0"/>
      <w:bookmarkStart w:id="886" w:name="Tc_X0hNPT_jOUiMhmPSNYSa0w_4_11"/>
      <w:bookmarkStart w:id="887" w:name="Tc_MHtUrA6HfEyzQMkqn__3mw_4_8"/>
      <w:bookmarkStart w:id="888" w:name="Tc_W2i2dPxRbUeM6tRQ2YnyfA_4_5"/>
      <w:bookmarkStart w:id="889" w:name="Tc_KuzzmvoAoUeBqg53jWjHcA_4_2"/>
      <w:bookmarkStart w:id="890" w:name="Tc_J--dTIQo0E-pzKf0Wkpa9g_3_11"/>
      <w:bookmarkStart w:id="891" w:name="Tc_ZcPB2nZgfEi2Xbix9Undgg_3_8"/>
      <w:bookmarkStart w:id="892" w:name="Tc_khZ3DlEng0-zGF9Ux9dXPw_3_5"/>
      <w:bookmarkStart w:id="893" w:name="Tc_uLth3WE5mkaM6JULhjkxjg_3_2"/>
      <w:bookmarkStart w:id="894" w:name="Tc__qZy08TmOkWs8I641bU8Jg_2_8"/>
      <w:bookmarkStart w:id="895" w:name="Tc_51KWPSFAtUWmRT5Fj4JAXw_2_5"/>
      <w:bookmarkStart w:id="896" w:name="Tc_uBWbhORQVki3ZOG_IezuoA_1_2"/>
      <w:bookmarkStart w:id="897" w:name="_0c927464_7784_4845_9a92_7d2993ee0c7e"/>
      <w:bookmarkStart w:id="898" w:name="Tc_vrF1gkprw0q9kVIrexW_2w_7_11"/>
      <w:bookmarkStart w:id="899" w:name="Tc_MtOmcdNx5k2UCh_sw3Xl0g_7_8"/>
      <w:bookmarkStart w:id="900" w:name="Tc_AJNd8xhSOkqqJINmQadtkA_7_6"/>
      <w:bookmarkStart w:id="901" w:name="Tc_aXyrjpsZjEmYRBx2y1ZsgQ_7_5"/>
      <w:bookmarkStart w:id="902" w:name="Tc_7wLBkgI8J0CiYwh5SuEJFQ_7_2"/>
      <w:bookmarkStart w:id="903" w:name="Tc_GYLTr_s0XUmoOq744ZsbDA_6_6"/>
      <w:bookmarkStart w:id="904" w:name="Tc_0azmXtM7oUGJuzSFAd55qg_6_0"/>
      <w:bookmarkStart w:id="905" w:name="Tc_WlpbVLVpCEigQjIcOiRxZw_5_11"/>
      <w:bookmarkStart w:id="906" w:name="Tc_91Tn4PR4fkKAUtVdCnKNvw_5_8"/>
      <w:bookmarkStart w:id="907" w:name="Tc_tLBVgSFadEC8F57ZStmMlQ_5_6"/>
      <w:bookmarkStart w:id="908" w:name="Tc_UCNHrI-9XkOi9Rbs7vOEEg_5_5"/>
      <w:bookmarkStart w:id="909" w:name="Tc_kTNwJXJ9U0KLHZssg7IErw_5_2"/>
      <w:bookmarkStart w:id="910" w:name="Tc_KR9HCjILq0KQh2q2NZWAlw_5_0"/>
      <w:bookmarkStart w:id="911" w:name="Tc_vnQ-rO7ZAUyXSN20a5o5Og_4_11"/>
      <w:bookmarkStart w:id="912" w:name="Tc_1Xfz6iJ7oUOKZYBW7fAGng_4_8"/>
      <w:bookmarkStart w:id="913" w:name="Tc_SdszN8hLR0Of-3ABvNKteg_4_5"/>
      <w:bookmarkStart w:id="914" w:name="Tc_hK895wpCek6wu4Ay_ZaXLw_4_2"/>
      <w:bookmarkStart w:id="915" w:name="Tc_Udt28UPVvECEucrdpD8vag_3_11"/>
      <w:bookmarkStart w:id="916" w:name="Tc_Bs4RTX4GxUa9gMzEXBGS_g_3_8"/>
      <w:bookmarkStart w:id="917" w:name="Tc_v8hZ3vB100qHw7eipo3ALA_3_5"/>
      <w:bookmarkStart w:id="918" w:name="Tc_56RwsxJBJka2NyCqNoJebw_3_2"/>
      <w:bookmarkStart w:id="919" w:name="Tc_kzOR2saogkeH_S3OOHcO2A_2_8"/>
      <w:bookmarkStart w:id="920" w:name="Tc_nSlii5bAfkKCdfSiiedgEA_2_5"/>
      <w:bookmarkStart w:id="921" w:name="Tc_BcpQF3wiMEyvd8jLWGZGrw_1_2"/>
      <w:bookmarkStart w:id="922" w:name="_556044ce_7c46_4fa9_bb4b_38bae74c6d7d"/>
      <w:bookmarkStart w:id="923" w:name="Tc_6b9VIumPokiuQwzWhzSgpg_7_11"/>
      <w:bookmarkStart w:id="924" w:name="Tc_LMiAbIavhkWlQPua-vcZig_7_9"/>
      <w:bookmarkStart w:id="925" w:name="Tc_B5LgVNg1IEurNjBCPgrtbA_7_8"/>
      <w:bookmarkStart w:id="926" w:name="Tc_NSE3E_ys90G-F0drJgwdog_7_5"/>
      <w:bookmarkStart w:id="927" w:name="Tc_OZQ-Xus9r0iW7slZtkfwnQ_7_2"/>
      <w:bookmarkStart w:id="928" w:name="Tc_YQ2tJHa3JEuGa_jwKDBX4w_6_9"/>
      <w:bookmarkStart w:id="929" w:name="Tc_gNjbad6hS0CrP5VQPv8SlA_6_3"/>
      <w:bookmarkStart w:id="930" w:name="Tc_0Oyjgfe2f0eRTnunImXTBA_6_0"/>
      <w:bookmarkStart w:id="931" w:name="Tc_2lhGtxocikWhfT9bu7SaxQ_5_11"/>
      <w:bookmarkStart w:id="932" w:name="Tc_87-2MNThiUGNZMm-CxcRKg_5_9"/>
      <w:bookmarkStart w:id="933" w:name="Tc_H94bz1y_DkKXRUu6cEcTZQ_5_8"/>
      <w:bookmarkStart w:id="934" w:name="Tc_bKFgdW8bTEacROmAyyq4Ww_5_6"/>
      <w:bookmarkStart w:id="935" w:name="Tc_kLNt_60JYk2_H6J5lYpqZA_5_5"/>
      <w:bookmarkStart w:id="936" w:name="Tc_5Ie_HXWi9UWg59h5LhG4cg_5_2"/>
      <w:bookmarkStart w:id="937" w:name="Tc_nkfJZlIowkK_9uoz_Kb4YA_5_0"/>
      <w:bookmarkStart w:id="938" w:name="Tc_kmGMyZzuFUK4vVgmFnEHmQ_4_0"/>
      <w:bookmarkStart w:id="939" w:name="Tc_bQ3lD5RPsU2AaJ44XZxm9w_3_11"/>
      <w:bookmarkStart w:id="940" w:name="Tc_jGivhr6LnUiHm4LaeI7M6w_3_8"/>
      <w:bookmarkStart w:id="941" w:name="Tc_cYLMY9hMEUeQiDXo1IAFag_3_5"/>
      <w:bookmarkStart w:id="942" w:name="Tc_K-BwpBmiHkSpgm3kfv9jCg_3_2"/>
      <w:bookmarkStart w:id="943" w:name="Tc_sUq2SNDlo0KzB1qpXeIM1w_2_11"/>
      <w:bookmarkStart w:id="944" w:name="Tc_nmAcvPPoP06vE0f2lh_XsA_2_2"/>
      <w:bookmarkStart w:id="945" w:name="Tc_qdtU86fqDEihNUWFr1DDVA_1_2"/>
      <w:bookmarkStart w:id="946" w:name="_5c1dd3ec_1269_4ec7_bcb1_75242d62396c"/>
      <w:bookmarkStart w:id="947" w:name="Tc_nlFeeHCJwEeSo2F0w0d0vg_7_11"/>
      <w:bookmarkStart w:id="948" w:name="Tc_uiZeismroEKgC9xXV5fksg_7_9"/>
      <w:bookmarkStart w:id="949" w:name="Tc_1LRYjh-RAUaHlAazZx9A-g_7_8"/>
      <w:bookmarkStart w:id="950" w:name="Tc_koA22l2UlUK2KVn4bYEBKg_7_5"/>
      <w:bookmarkStart w:id="951" w:name="Tc_-rCYoPvdP0GbfN7HIfnc2w_7_2"/>
      <w:bookmarkStart w:id="952" w:name="Tc_xlOLW-IJIk2ABVVh-B6PVA_6_9"/>
      <w:bookmarkStart w:id="953" w:name="Tc_kK9sCnpMEU-OBIIz_zmfMA_6_3"/>
      <w:bookmarkStart w:id="954" w:name="Tc_txcWkSWyiUamO1lSx1uRlg_6_0"/>
      <w:bookmarkStart w:id="955" w:name="Tc_VSdkp0snLUOnsopWsgoG7A_5_11"/>
      <w:bookmarkStart w:id="956" w:name="Tc_k7HV1dMcAkmenZc9xb1pWw_5_9"/>
      <w:bookmarkStart w:id="957" w:name="Tc_3y2rggs8MEazKLJ5VA1rzQ_5_8"/>
      <w:bookmarkStart w:id="958" w:name="Tc_-36F-2wF20-vXIFvCx3gmg_5_6"/>
      <w:bookmarkStart w:id="959" w:name="Tc_RC9xSlBZZEaEkwkn_uvPFw_5_5"/>
      <w:bookmarkStart w:id="960" w:name="Tc_ehm8eJtsSkytElGUr09Gfg_5_2"/>
      <w:bookmarkStart w:id="961" w:name="Tc_QzIT-tmEG0CYCdCd3-9khQ_5_0"/>
      <w:bookmarkStart w:id="962" w:name="Tc_6IC4LwKIP0aFUgdY1C8qIQ_4_0"/>
      <w:bookmarkStart w:id="963" w:name="Tc_4rfk4o-nwUCQY81SbwLflw_3_11"/>
      <w:bookmarkStart w:id="964" w:name="Tc_Bp-2jHSbIkqwcCuFdRNJ0A_3_8"/>
      <w:bookmarkStart w:id="965" w:name="Tc_mr7ELtuYVU2jZFfEfTn_Vg_3_5"/>
      <w:bookmarkStart w:id="966" w:name="Tc_rzDlv96b6EiKnBrJQcIxnw_3_2"/>
      <w:bookmarkStart w:id="967" w:name="Tc_PGM9aJTSy0S7RteEwE68AQ_2_11"/>
      <w:bookmarkStart w:id="968" w:name="Tc_nRscv1swPU-zgFCsrDYz9Q_2_2"/>
      <w:bookmarkStart w:id="969" w:name="Tc_PXRkSnaDREe-5HrP-XIPxQ_1_2"/>
      <w:bookmarkStart w:id="970" w:name="_b9d6e4c9_0f48_496a_88cd_6f7625fbc35f"/>
      <w:bookmarkStart w:id="971" w:name="Tc_w4sltsp0Akqwmy6svl84fA_7_11"/>
      <w:bookmarkStart w:id="972" w:name="Tc_v1zzfW1XpEeuIWVJgZrqYw_7_9"/>
      <w:bookmarkStart w:id="973" w:name="Tc_dFTYOMhebUukDFZr8QqHXg_7_8"/>
      <w:bookmarkStart w:id="974" w:name="Tc_3LZgggwbKkeUbpk23LqSJA_7_5"/>
      <w:bookmarkStart w:id="975" w:name="Tc_3A-KKeXRukSidCUJ6HlWDg_7_2"/>
      <w:bookmarkStart w:id="976" w:name="Tc_bB5WWHbtakKPNadAFtwsWQ_6_9"/>
      <w:bookmarkStart w:id="977" w:name="Tc_7N5FO35OFkecq_OWWLZ4CQ_6_0"/>
      <w:bookmarkStart w:id="978" w:name="Tc_5XVbgtCNTUuOJm5AQlVqvw_5_11"/>
      <w:bookmarkStart w:id="979" w:name="Tc_M4ft6xiBhkWS2zauzm76dQ_5_9"/>
      <w:bookmarkStart w:id="980" w:name="Tc_tOUke_jB4EiS9QwGK05jvQ_5_8"/>
      <w:bookmarkStart w:id="981" w:name="Tc_e1-UgYR4L0u91ggDwL7ZsQ_5_5"/>
      <w:bookmarkStart w:id="982" w:name="Tc_Jlc-oAM14ESTfHoOERG-6w_5_2"/>
      <w:bookmarkStart w:id="983" w:name="Tc_UiIBeaxCu0WFvgLto0qGwg_5_0"/>
      <w:bookmarkStart w:id="984" w:name="Tc_X0hNPT_jOUiMhmPSNYSa0w_4_11"/>
      <w:bookmarkStart w:id="985" w:name="Tc_MHtUrA6HfEyzQMkqn__3mw_4_8"/>
      <w:bookmarkStart w:id="986" w:name="Tc_W2i2dPxRbUeM6tRQ2YnyfA_4_5"/>
      <w:bookmarkStart w:id="987" w:name="Tc_KuzzmvoAoUeBqg53jWjHcA_4_2"/>
      <w:bookmarkStart w:id="988" w:name="Tc_J--dTIQo0E-pzKf0Wkpa9g_3_11"/>
      <w:bookmarkStart w:id="989" w:name="Tc_ZcPB2nZgfEi2Xbix9Undgg_3_8"/>
      <w:bookmarkStart w:id="990" w:name="Tc_khZ3DlEng0-zGF9Ux9dXPw_3_5"/>
      <w:bookmarkStart w:id="991" w:name="Tc_uLth3WE5mkaM6JULhjkxjg_3_2"/>
      <w:bookmarkStart w:id="992" w:name="Tc__qZy08TmOkWs8I641bU8Jg_2_8"/>
      <w:bookmarkStart w:id="993" w:name="Tc_51KWPSFAtUWmRT5Fj4JAXw_2_5"/>
      <w:bookmarkStart w:id="994" w:name="Tc_uBWbhORQVki3ZOG_IezuoA_1_2"/>
      <w:bookmarkStart w:id="995" w:name="_0c927464_7784_4845_9a92_7d2993ee0c7e"/>
      <w:bookmarkStart w:id="996" w:name="Tc_vrF1gkprw0q9kVIrexW_2w_7_11"/>
      <w:bookmarkStart w:id="997" w:name="Tc_MtOmcdNx5k2UCh_sw3Xl0g_7_8"/>
      <w:bookmarkStart w:id="998" w:name="Tc_AJNd8xhSOkqqJINmQadtkA_7_6"/>
      <w:bookmarkStart w:id="999" w:name="Tc_aXyrjpsZjEmYRBx2y1ZsgQ_7_5"/>
      <w:bookmarkStart w:id="1000" w:name="Tc_7wLBkgI8J0CiYwh5SuEJFQ_7_2"/>
      <w:bookmarkStart w:id="1001" w:name="Tc_GYLTr_s0XUmoOq744ZsbDA_6_6"/>
      <w:bookmarkStart w:id="1002" w:name="Tc_0azmXtM7oUGJuzSFAd55qg_6_0"/>
      <w:bookmarkStart w:id="1003" w:name="Tc_WlpbVLVpCEigQjIcOiRxZw_5_11"/>
      <w:bookmarkStart w:id="1004" w:name="Tc_91Tn4PR4fkKAUtVdCnKNvw_5_8"/>
      <w:bookmarkStart w:id="1005" w:name="Tc_tLBVgSFadEC8F57ZStmMlQ_5_6"/>
      <w:bookmarkStart w:id="1006" w:name="Tc_UCNHrI-9XkOi9Rbs7vOEEg_5_5"/>
      <w:bookmarkStart w:id="1007" w:name="Tc_kTNwJXJ9U0KLHZssg7IErw_5_2"/>
      <w:bookmarkStart w:id="1008" w:name="Tc_KR9HCjILq0KQh2q2NZWAlw_5_0"/>
      <w:bookmarkStart w:id="1009" w:name="Tc_vnQ-rO7ZAUyXSN20a5o5Og_4_11"/>
      <w:bookmarkStart w:id="1010" w:name="Tc_1Xfz6iJ7oUOKZYBW7fAGng_4_8"/>
      <w:bookmarkStart w:id="1011" w:name="Tc_SdszN8hLR0Of-3ABvNKteg_4_5"/>
      <w:bookmarkStart w:id="1012" w:name="Tc_hK895wpCek6wu4Ay_ZaXLw_4_2"/>
      <w:bookmarkStart w:id="1013" w:name="Tc_Udt28UPVvECEucrdpD8vag_3_11"/>
      <w:bookmarkStart w:id="1014" w:name="Tc_Bs4RTX4GxUa9gMzEXBGS_g_3_8"/>
      <w:bookmarkStart w:id="1015" w:name="Tc_v8hZ3vB100qHw7eipo3ALA_3_5"/>
      <w:bookmarkStart w:id="1016" w:name="Tc_56RwsxJBJka2NyCqNoJebw_3_2"/>
      <w:bookmarkStart w:id="1017" w:name="Tc_kzOR2saogkeH_S3OOHcO2A_2_8"/>
      <w:bookmarkStart w:id="1018" w:name="Tc_nSlii5bAfkKCdfSiiedgEA_2_5"/>
      <w:bookmarkStart w:id="1019" w:name="Tc_BcpQF3wiMEyvd8jLWGZGrw_1_2"/>
      <w:bookmarkStart w:id="1020" w:name="_556044ce_7c46_4fa9_bb4b_38bae74c6d7d"/>
      <w:bookmarkStart w:id="1021" w:name="Tc_6b9VIumPokiuQwzWhzSgpg_7_11"/>
      <w:bookmarkStart w:id="1022" w:name="Tc_LMiAbIavhkWlQPua-vcZig_7_9"/>
      <w:bookmarkStart w:id="1023" w:name="Tc_B5LgVNg1IEurNjBCPgrtbA_7_8"/>
      <w:bookmarkStart w:id="1024" w:name="Tc_NSE3E_ys90G-F0drJgwdog_7_5"/>
      <w:bookmarkStart w:id="1025" w:name="Tc_OZQ-Xus9r0iW7slZtkfwnQ_7_2"/>
      <w:bookmarkStart w:id="1026" w:name="Tc_YQ2tJHa3JEuGa_jwKDBX4w_6_9"/>
      <w:bookmarkStart w:id="1027" w:name="Tc_gNjbad6hS0CrP5VQPv8SlA_6_3"/>
      <w:bookmarkStart w:id="1028" w:name="Tc_0Oyjgfe2f0eRTnunImXTBA_6_0"/>
      <w:bookmarkStart w:id="1029" w:name="Tc_2lhGtxocikWhfT9bu7SaxQ_5_11"/>
      <w:bookmarkStart w:id="1030" w:name="Tc_87-2MNThiUGNZMm-CxcRKg_5_9"/>
      <w:bookmarkStart w:id="1031" w:name="Tc_H94bz1y_DkKXRUu6cEcTZQ_5_8"/>
      <w:bookmarkStart w:id="1032" w:name="Tc_bKFgdW8bTEacROmAyyq4Ww_5_6"/>
      <w:bookmarkStart w:id="1033" w:name="Tc_kLNt_60JYk2_H6J5lYpqZA_5_5"/>
      <w:bookmarkStart w:id="1034" w:name="Tc_5Ie_HXWi9UWg59h5LhG4cg_5_2"/>
      <w:bookmarkStart w:id="1035" w:name="Tc_nkfJZlIowkK_9uoz_Kb4YA_5_0"/>
      <w:bookmarkStart w:id="1036" w:name="Tc_kmGMyZzuFUK4vVgmFnEHmQ_4_0"/>
      <w:bookmarkStart w:id="1037" w:name="Tc_bQ3lD5RPsU2AaJ44XZxm9w_3_11"/>
      <w:bookmarkStart w:id="1038" w:name="Tc_jGivhr6LnUiHm4LaeI7M6w_3_8"/>
      <w:bookmarkStart w:id="1039" w:name="Tc_cYLMY9hMEUeQiDXo1IAFag_3_5"/>
      <w:bookmarkStart w:id="1040" w:name="Tc_K-BwpBmiHkSpgm3kfv9jCg_3_2"/>
      <w:bookmarkStart w:id="1041" w:name="Tc_sUq2SNDlo0KzB1qpXeIM1w_2_11"/>
      <w:bookmarkStart w:id="1042" w:name="Tc_nmAcvPPoP06vE0f2lh_XsA_2_2"/>
      <w:bookmarkStart w:id="1043" w:name="Tc_qdtU86fqDEihNUWFr1DDVA_1_2"/>
      <w:bookmarkStart w:id="1044" w:name="_5c1dd3ec_1269_4ec7_bcb1_75242d62396c"/>
      <w:bookmarkStart w:id="1045" w:name="Tc_nlFeeHCJwEeSo2F0w0d0vg_7_11"/>
      <w:bookmarkStart w:id="1046" w:name="Tc_uiZeismroEKgC9xXV5fksg_7_9"/>
      <w:bookmarkStart w:id="1047" w:name="Tc_1LRYjh-RAUaHlAazZx9A-g_7_8"/>
      <w:bookmarkStart w:id="1048" w:name="Tc_koA22l2UlUK2KVn4bYEBKg_7_5"/>
      <w:bookmarkStart w:id="1049" w:name="Tc_-rCYoPvdP0GbfN7HIfnc2w_7_2"/>
      <w:bookmarkStart w:id="1050" w:name="Tc_xlOLW-IJIk2ABVVh-B6PVA_6_9"/>
      <w:bookmarkStart w:id="1051" w:name="Tc_kK9sCnpMEU-OBIIz_zmfMA_6_3"/>
      <w:bookmarkStart w:id="1052" w:name="Tc_txcWkSWyiUamO1lSx1uRlg_6_0"/>
      <w:bookmarkStart w:id="1053" w:name="Tc_VSdkp0snLUOnsopWsgoG7A_5_11"/>
      <w:bookmarkStart w:id="1054" w:name="Tc_k7HV1dMcAkmenZc9xb1pWw_5_9"/>
      <w:bookmarkStart w:id="1055" w:name="Tc_3y2rggs8MEazKLJ5VA1rzQ_5_8"/>
      <w:bookmarkStart w:id="1056" w:name="Tc_-36F-2wF20-vXIFvCx3gmg_5_6"/>
      <w:bookmarkStart w:id="1057" w:name="Tc_RC9xSlBZZEaEkwkn_uvPFw_5_5"/>
      <w:bookmarkStart w:id="1058" w:name="Tc_ehm8eJtsSkytElGUr09Gfg_5_2"/>
      <w:bookmarkStart w:id="1059" w:name="Tc_QzIT-tmEG0CYCdCd3-9khQ_5_0"/>
      <w:bookmarkStart w:id="1060" w:name="Tc_6IC4LwKIP0aFUgdY1C8qIQ_4_0"/>
      <w:bookmarkStart w:id="1061" w:name="Tc_4rfk4o-nwUCQY81SbwLflw_3_11"/>
      <w:bookmarkStart w:id="1062" w:name="Tc_Bp-2jHSbIkqwcCuFdRNJ0A_3_8"/>
      <w:bookmarkStart w:id="1063" w:name="Tc_mr7ELtuYVU2jZFfEfTn_Vg_3_5"/>
      <w:bookmarkStart w:id="1064" w:name="Tc_rzDlv96b6EiKnBrJQcIxnw_3_2"/>
      <w:bookmarkStart w:id="1065" w:name="Tc_PGM9aJTSy0S7RteEwE68AQ_2_11"/>
      <w:bookmarkStart w:id="1066" w:name="Tc_nRscv1swPU-zgFCsrDYz9Q_2_2"/>
      <w:bookmarkStart w:id="1067" w:name="Tc_PXRkSnaDREe-5HrP-XIPxQ_1_2"/>
      <w:bookmarkStart w:id="1068" w:name="_b9d6e4c9_0f48_496a_88cd_6f7625fbc35f"/>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2—Inputs other than quoted prices included within Level 1 that are observable for the asset or liability, either directly or indirectly</w:t>
            </w:r>
          </w:p>
        </w:tc>
      </w:tr>
    </w:tbl>
    <w:p>
      <w:pPr>
        <w:pStyle w:val="TextBody"/>
        <w:bidi w:val="0"/>
        <w:spacing w:lineRule="auto" w:line="285" w:before="0" w:after="0"/>
        <w:ind w:left="720" w:right="0" w:firstLine="720"/>
        <w:jc w:val="left"/>
      </w:pPr>
      <w: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3—Unobservable inputs that reflect the Company’s own assumptions about the assumptions market participants would use in pricing the asset or liability</w:t>
            </w:r>
          </w:p>
        </w:tc>
      </w:tr>
    </w:tbl>
    <w:p>
      <w:pPr>
        <w:pStyle w:val="TextBody"/>
        <w:bidi w:val="0"/>
        <w:spacing w:lineRule="auto" w:line="285" w:before="0" w:after="0"/>
        <w:ind w:left="720" w:right="0" w:firstLine="72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There have been no transfers of assets and liabilities between levels of hierarchy.</w:t>
      </w:r>
    </w:p>
    <w:p>
      <w:pPr>
        <w:pStyle w:val="TextBody"/>
        <w:bidi w:val="0"/>
        <w:spacing w:lineRule="auto" w:line="285" w:before="0" w:after="0"/>
        <w:ind w:left="0" w:right="0" w:firstLine="72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pStyle w:val="TextBody"/>
        <w:bidi w:val="0"/>
        <w:spacing w:lineRule="auto" w:line="285" w:before="0" w:after="0"/>
        <w:ind w:left="0" w:right="0" w:firstLine="72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present information as of September 30, 2026 and December 31, 2025 about the Company’s assets that are measured at fair value on a recurring basis and indicate the level of the fair value hierarchy the Company utilized to determine such fair values (in thousands):</w:t>
      </w:r>
    </w:p>
    <w:p>
      <w:pPr>
        <w:pStyle w:val="TextBody"/>
        <w:bidi w:val="0"/>
        <w:spacing w:lineRule="auto" w:line="285" w:before="0" w:after="0"/>
        <w:ind w:left="0" w:right="0" w:hanging="0"/>
        <w:jc w:val="left"/>
      </w:pPr>
      <w:r>
        <w:t>​</w:t>
      </w:r>
    </w:p>
    <w:tbl>
      <w:tblPr>
        <w:tblW w:w="6971" w:type="dxa"/>
        <w:jc w:val="left"/>
        <w:tblInd w:w="0" w:type="dxa"/>
        <w:tblLayout w:type="fixed"/>
        <w:tblCellMar>
          <w:top w:w="0" w:type="dxa"/>
          <w:left w:w="0" w:type="dxa"/>
          <w:bottom w:w="0" w:type="dxa"/>
          <w:right w:w="0" w:type="dxa"/>
        </w:tblCellMar>
      </w:tblPr>
      <w:tblGrid>
        <w:gridCol w:w="1861"/>
        <w:gridCol w:w="346"/>
        <w:gridCol w:w="211"/>
        <w:gridCol w:w="676"/>
        <w:gridCol w:w="346"/>
        <w:gridCol w:w="211"/>
        <w:gridCol w:w="781"/>
        <w:gridCol w:w="346"/>
        <w:gridCol w:w="283"/>
        <w:gridCol w:w="467"/>
        <w:gridCol w:w="346"/>
        <w:gridCol w:w="211"/>
        <w:gridCol w:w="886"/>
      </w:tblGrid>
      <w:t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181735" cy="175260"/>
                      <wp:effectExtent l="0" t="0" r="0" b="0"/>
                      <wp:wrapNone/>
                      <wp:docPr id="111" name="Frame111"/>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29260" cy="175260"/>
                      <wp:effectExtent l="0" t="0" r="0" b="0"/>
                      <wp:wrapNone/>
                      <wp:docPr id="114" name="Frame1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95935" cy="175260"/>
                      <wp:effectExtent l="0" t="0" r="0" b="0"/>
                      <wp:wrapNone/>
                      <wp:docPr id="117" name="Frame1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79705" cy="175260"/>
                      <wp:effectExtent l="0" t="0" r="0" b="0"/>
                      <wp:wrapNone/>
                      <wp:docPr id="119" name="Frame119"/>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96545" cy="175260"/>
                      <wp:effectExtent l="0" t="0" r="0" b="0"/>
                      <wp:wrapNone/>
                      <wp:docPr id="120" name="Frame120"/>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62610" cy="175260"/>
                      <wp:effectExtent l="0" t="0" r="0" b="0"/>
                      <wp:wrapNone/>
                      <wp:docPr id="123" name="Frame12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186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4764" w:type="dxa"/>
            <w:gridSpan w:val="11"/>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2026</w:t>
            </w:r>
          </w:p>
        </w:tc>
      </w:tr>
      <w:tr>
        <w:tc>
          <w:tcPr>
            <w:tcW w:w="186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3321"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Measured Using</w:t>
            </w:r>
          </w:p>
        </w:tc>
        <w:tc>
          <w:tcPr>
            <w:tcW w:w="346" w:type="dxa"/>
            <w:tcBorders/>
            <w:vAlign w:val="center"/>
          </w:tcPr>
          <w:p>
            <w:pPr>
              <w:pStyle w:val="TableContents"/>
              <w:bidi w:val="0"/>
              <w:spacing w:lineRule="auto" w:line="285" w:before="0" w:after="0"/>
              <w:ind w:left="0" w:right="0" w:hanging="0"/>
              <w:jc w:val="left"/>
            </w:pPr>
            <w:r>
              <w:t>​</w:t>
            </w:r>
          </w:p>
        </w:tc>
        <w:tc>
          <w:tcPr>
            <w:tcW w:w="10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186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lineRule="auto" w:line="285" w:before="0" w:after="0"/>
              <w:ind w:left="0" w:right="0" w:hanging="0"/>
              <w:jc w:val="left"/>
            </w:pPr>
            <w: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lineRule="auto" w:line="285" w:before="0" w:after="0"/>
              <w:ind w:left="0" w:right="0" w:hanging="0"/>
              <w:jc w:val="left"/>
            </w:pPr>
            <w:r>
              <w:t>  ​ ​ ​</w:t>
            </w:r>
          </w:p>
        </w:tc>
        <w:tc>
          <w:tcPr>
            <w:tcW w:w="7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lineRule="auto" w:line="285" w:before="0" w:after="0"/>
              <w:ind w:left="0" w:right="0" w:hanging="0"/>
              <w:jc w:val="left"/>
            </w:pPr>
            <w:r>
              <w:t>  ​ ​ ​</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r>
      <w:tr>
        <w:tc>
          <w:tcPr>
            <w:tcW w:w="186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676"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781"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83" w:type="dxa"/>
            <w:tcBorders/>
            <w:shd w:fill="CCEEFF" w:val="clear"/>
            <w:vAlign w:val="center"/>
          </w:tcPr>
          <w:p>
            <w:pPr>
              <w:pStyle w:val="TableContents"/>
              <w:bidi w:val="0"/>
              <w:spacing w:lineRule="auto" w:line="285" w:before="0" w:after="0"/>
              <w:ind w:left="0" w:right="0" w:hanging="0"/>
              <w:jc w:val="left"/>
            </w:pPr>
            <w:r>
              <w:t>​</w:t>
            </w:r>
          </w:p>
        </w:tc>
        <w:tc>
          <w:tcPr>
            <w:tcW w:w="467"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886" w:type="dxa"/>
            <w:tcBorders/>
            <w:shd w:fill="CCEEFF" w:val="clear"/>
            <w:vAlign w:val="center"/>
          </w:tcPr>
          <w:p>
            <w:pPr>
              <w:pStyle w:val="TableContents"/>
              <w:bidi w:val="0"/>
              <w:spacing w:lineRule="auto" w:line="285" w:before="0" w:after="0"/>
              <w:ind w:left="0" w:right="0" w:hanging="0"/>
              <w:jc w:val="right"/>
            </w:pPr>
            <w:r>
              <w:t>  ​</w:t>
            </w:r>
          </w:p>
        </w:tc>
      </w:tr>
      <w:tr>
        <w:tc>
          <w:tcPr>
            <w:tcW w:w="186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14,030</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8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14,030</w:t>
            </w:r>
          </w:p>
        </w:tc>
      </w:tr>
      <w:tr>
        <w:tc>
          <w:tcPr>
            <w:tcW w:w="186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187,933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8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46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8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187,933</w:t>
            </w:r>
          </w:p>
        </w:tc>
      </w:tr>
      <w:tr>
        <w:tc>
          <w:tcPr>
            <w:tcW w:w="186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14,030</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187,933</w:t>
            </w:r>
          </w:p>
        </w:tc>
        <w:tc>
          <w:tcPr>
            <w:tcW w:w="346" w:type="dxa"/>
            <w:tcBorders/>
            <w:vAlign w:val="center"/>
          </w:tcPr>
          <w:p>
            <w:pPr>
              <w:pStyle w:val="TableContents"/>
              <w:bidi w:val="0"/>
              <w:spacing w:lineRule="auto" w:line="285" w:before="0" w:after="0"/>
              <w:ind w:left="0" w:right="0" w:hanging="0"/>
              <w:jc w:val="left"/>
            </w:pPr>
            <w:r>
              <w:t>​</w:t>
            </w:r>
          </w:p>
        </w:tc>
        <w:tc>
          <w:tcPr>
            <w:tcW w:w="28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bottom w:val="double" w:sz="6" w:space="0" w:color="000000"/>
            </w:tcBorders>
            <w:tcMar>
              <w:bottom w:w="28" w:type="dxa"/>
            </w:tcMar>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201,963</w:t>
            </w:r>
          </w:p>
        </w:tc>
      </w:tr>
    </w:tbl>
    <w:p>
      <w:pPr>
        <w:pStyle w:val="TextBody"/>
        <w:bidi w:val="0"/>
        <w:spacing w:lineRule="auto" w:line="285" w:before="0" w:after="0"/>
        <w:ind w:left="0" w:right="0" w:hanging="0"/>
        <w:jc w:val="left"/>
      </w:pPr>
      <w:r>
        <w:t>​</w:t>
      </w:r>
    </w:p>
    <w:tbl>
      <w:tblPr>
        <w:tblW w:w="6656" w:type="dxa"/>
        <w:jc w:val="left"/>
        <w:tblInd w:w="0" w:type="dxa"/>
        <w:tblLayout w:type="fixed"/>
        <w:tblCellMar>
          <w:top w:w="0" w:type="dxa"/>
          <w:left w:w="0" w:type="dxa"/>
          <w:bottom w:w="0" w:type="dxa"/>
          <w:right w:w="0" w:type="dxa"/>
        </w:tblCellMar>
      </w:tblPr>
      <w:tblGrid>
        <w:gridCol w:w="1861"/>
        <w:gridCol w:w="346"/>
        <w:gridCol w:w="211"/>
        <w:gridCol w:w="571"/>
        <w:gridCol w:w="346"/>
        <w:gridCol w:w="211"/>
        <w:gridCol w:w="676"/>
        <w:gridCol w:w="346"/>
        <w:gridCol w:w="283"/>
        <w:gridCol w:w="467"/>
        <w:gridCol w:w="346"/>
        <w:gridCol w:w="211"/>
        <w:gridCol w:w="781"/>
      </w:tblGrid>
      <w:t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181735" cy="175260"/>
                      <wp:effectExtent l="0" t="0" r="0" b="0"/>
                      <wp:wrapNone/>
                      <wp:docPr id="124" name="Frame124"/>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62585" cy="175260"/>
                      <wp:effectExtent l="0" t="0" r="0" b="0"/>
                      <wp:wrapNone/>
                      <wp:docPr id="127" name="Frame1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29260" cy="175260"/>
                      <wp:effectExtent l="0" t="0" r="0" b="0"/>
                      <wp:wrapNone/>
                      <wp:docPr id="130" name="Frame13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79705" cy="175260"/>
                      <wp:effectExtent l="0" t="0" r="0" b="0"/>
                      <wp:wrapNone/>
                      <wp:docPr id="132" name="Frame132"/>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96545" cy="175260"/>
                      <wp:effectExtent l="0" t="0" r="0" b="0"/>
                      <wp:wrapNone/>
                      <wp:docPr id="133" name="Frame133"/>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95935" cy="175260"/>
                      <wp:effectExtent l="0" t="0" r="0" b="0"/>
                      <wp:wrapNone/>
                      <wp:docPr id="136" name="Frame1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186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4449" w:type="dxa"/>
            <w:gridSpan w:val="11"/>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c>
          <w:tcPr>
            <w:tcW w:w="186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3111"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Measured Using</w:t>
            </w:r>
          </w:p>
        </w:tc>
        <w:tc>
          <w:tcPr>
            <w:tcW w:w="346" w:type="dxa"/>
            <w:tcBorders/>
            <w:vAlign w:val="center"/>
          </w:tcPr>
          <w:p>
            <w:pPr>
              <w:pStyle w:val="TableContents"/>
              <w:bidi w:val="0"/>
              <w:spacing w:lineRule="auto" w:line="285" w:before="0" w:after="0"/>
              <w:ind w:left="0" w:right="0" w:hanging="0"/>
              <w:jc w:val="left"/>
            </w:pPr>
            <w: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186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lineRule="auto" w:line="285" w:before="0" w:after="0"/>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lineRule="auto" w:line="285" w:before="0" w:after="0"/>
              <w:ind w:left="0" w:right="0" w:hanging="0"/>
              <w:jc w:val="left"/>
            </w:pPr>
            <w:r>
              <w:t>  ​ ​ ​</w:t>
            </w:r>
          </w:p>
        </w:tc>
        <w:tc>
          <w:tcPr>
            <w:tcW w:w="7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lineRule="auto" w:line="285" w:before="0" w:after="0"/>
              <w:ind w:left="0" w:right="0" w:hanging="0"/>
              <w:jc w:val="left"/>
            </w:pPr>
            <w: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r>
      <w:tr>
        <w:tc>
          <w:tcPr>
            <w:tcW w:w="186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571"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676"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83" w:type="dxa"/>
            <w:tcBorders/>
            <w:shd w:fill="CCEEFF" w:val="clear"/>
            <w:vAlign w:val="center"/>
          </w:tcPr>
          <w:p>
            <w:pPr>
              <w:pStyle w:val="TableContents"/>
              <w:bidi w:val="0"/>
              <w:spacing w:lineRule="auto" w:line="285" w:before="0" w:after="0"/>
              <w:ind w:left="0" w:right="0" w:hanging="0"/>
              <w:jc w:val="left"/>
            </w:pPr>
            <w:r>
              <w:t>​</w:t>
            </w:r>
          </w:p>
        </w:tc>
        <w:tc>
          <w:tcPr>
            <w:tcW w:w="467"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781" w:type="dxa"/>
            <w:tcBorders/>
            <w:shd w:fill="CCEEFF" w:val="clear"/>
            <w:vAlign w:val="center"/>
          </w:tcPr>
          <w:p>
            <w:pPr>
              <w:pStyle w:val="TableContents"/>
              <w:bidi w:val="0"/>
              <w:spacing w:lineRule="auto" w:line="285" w:before="0" w:after="0"/>
              <w:ind w:left="0" w:right="0" w:hanging="0"/>
              <w:jc w:val="right"/>
            </w:pPr>
            <w:r>
              <w:t>  ​</w:t>
            </w:r>
          </w:p>
        </w:tc>
      </w:tr>
      <w:tr>
        <w:tc>
          <w:tcPr>
            <w:tcW w:w="186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4,163</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8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4,163</w:t>
            </w:r>
          </w:p>
        </w:tc>
      </w:tr>
      <w:tr>
        <w:tc>
          <w:tcPr>
            <w:tcW w:w="186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52,174</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8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46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52,174</w:t>
            </w:r>
          </w:p>
        </w:tc>
      </w:tr>
      <w:tr>
        <w:tc>
          <w:tcPr>
            <w:tcW w:w="186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4,163</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52,174</w:t>
            </w:r>
          </w:p>
        </w:tc>
        <w:tc>
          <w:tcPr>
            <w:tcW w:w="346" w:type="dxa"/>
            <w:tcBorders/>
            <w:vAlign w:val="center"/>
          </w:tcPr>
          <w:p>
            <w:pPr>
              <w:pStyle w:val="TableContents"/>
              <w:bidi w:val="0"/>
              <w:spacing w:lineRule="auto" w:line="285" w:before="0" w:after="0"/>
              <w:ind w:left="0" w:right="0" w:hanging="0"/>
              <w:jc w:val="left"/>
            </w:pPr>
            <w:r>
              <w:t>​</w:t>
            </w:r>
          </w:p>
        </w:tc>
        <w:tc>
          <w:tcPr>
            <w:tcW w:w="28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bottom w:val="double" w:sz="6" w:space="0" w:color="000000"/>
            </w:tcBorders>
            <w:tcMar>
              <w:bottom w:w="28" w:type="dxa"/>
            </w:tcMar>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56,337</w:t>
            </w:r>
          </w:p>
        </w:tc>
      </w:tr>
    </w:tbl>
    <w:p>
      <w:pPr>
        <w:pStyle w:val="TextBody"/>
        <w:bidi w:val="0"/>
        <w:spacing w:lineRule="auto" w:line="285" w:before="0" w:after="0"/>
        <w:ind w:left="0" w:right="0" w:firstLine="72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2026 and December 31, 2025, the fair value of available for sale marketable securities by type of security were as follows (in thousands):</w:t>
      </w:r>
    </w:p>
    <w:p>
      <w:pPr>
        <w:pStyle w:val="TextBody"/>
        <w:bidi w:val="0"/>
        <w:spacing w:lineRule="auto" w:line="285" w:before="0" w:after="0"/>
        <w:ind w:left="0" w:right="0" w:firstLine="720"/>
        <w:jc w:val="left"/>
      </w:pPr>
      <w:r>
        <w:t>​</w:t>
      </w:r>
    </w:p>
    <w:tbl>
      <w:tblPr>
        <w:tblW w:w="8202" w:type="dxa"/>
        <w:jc w:val="left"/>
        <w:tblInd w:w="0" w:type="dxa"/>
        <w:tblLayout w:type="fixed"/>
        <w:tblCellMar>
          <w:top w:w="0" w:type="dxa"/>
          <w:left w:w="0" w:type="dxa"/>
          <w:bottom w:w="0" w:type="dxa"/>
          <w:right w:w="0" w:type="dxa"/>
        </w:tblCellMar>
      </w:tblPr>
      <w:tblGrid>
        <w:gridCol w:w="2941"/>
        <w:gridCol w:w="346"/>
        <w:gridCol w:w="211"/>
        <w:gridCol w:w="781"/>
        <w:gridCol w:w="346"/>
        <w:gridCol w:w="335"/>
        <w:gridCol w:w="551"/>
        <w:gridCol w:w="346"/>
        <w:gridCol w:w="211"/>
        <w:gridCol w:w="691"/>
        <w:gridCol w:w="346"/>
        <w:gridCol w:w="211"/>
        <w:gridCol w:w="886"/>
      </w:tblGrid>
      <w:t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867535" cy="175260"/>
                      <wp:effectExtent l="0" t="0" r="0" b="0"/>
                      <wp:wrapNone/>
                      <wp:docPr id="137" name="Frame137"/>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95935" cy="175260"/>
                      <wp:effectExtent l="0" t="0" r="0" b="0"/>
                      <wp:wrapNone/>
                      <wp:docPr id="140" name="Frame1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2725" cy="175260"/>
                      <wp:effectExtent l="0" t="0" r="0" b="0"/>
                      <wp:wrapNone/>
                      <wp:docPr id="142" name="Frame142"/>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49885" cy="175260"/>
                      <wp:effectExtent l="0" t="0" r="0" b="0"/>
                      <wp:wrapNone/>
                      <wp:docPr id="143" name="Frame143"/>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38785" cy="175260"/>
                      <wp:effectExtent l="0" t="0" r="0" b="0"/>
                      <wp:wrapNone/>
                      <wp:docPr id="146" name="Frame1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62610" cy="175260"/>
                      <wp:effectExtent l="0" t="0" r="0" b="0"/>
                      <wp:wrapNone/>
                      <wp:docPr id="149" name="Frame14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294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4915" w:type="dxa"/>
            <w:gridSpan w:val="11"/>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2026</w:t>
            </w:r>
          </w:p>
        </w:tc>
      </w:tr>
      <w:tr>
        <w:tc>
          <w:tcPr>
            <w:tcW w:w="294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211" w:type="dxa"/>
            <w:tcBorders/>
            <w:vAlign w:val="center"/>
          </w:tcPr>
          <w:p>
            <w:pPr>
              <w:pStyle w:val="TableContents"/>
              <w:bidi w:val="0"/>
              <w:spacing w:lineRule="auto" w:line="285" w:before="0" w:after="0"/>
              <w:ind w:left="0" w:right="0" w:hanging="0"/>
              <w:jc w:val="left"/>
            </w:pPr>
            <w:r>
              <w:t>​</w:t>
            </w:r>
          </w:p>
        </w:tc>
        <w:tc>
          <w:tcPr>
            <w:tcW w:w="78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lineRule="auto" w:line="285" w:before="0" w:after="0"/>
              <w:ind w:left="0" w:right="0" w:hanging="0"/>
              <w:jc w:val="left"/>
            </w:pPr>
            <w:r>
              <w:t>  ​ ​ ​</w:t>
            </w:r>
          </w:p>
        </w:tc>
        <w:tc>
          <w:tcPr>
            <w:tcW w:w="90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lineRule="auto" w:line="285" w:before="0" w:after="0"/>
              <w:ind w:left="0" w:right="0" w:hanging="0"/>
              <w:jc w:val="left"/>
            </w:pPr>
            <w:r>
              <w:t>  ​ ​ ​</w:t>
            </w:r>
          </w:p>
        </w:tc>
        <w:tc>
          <w:tcPr>
            <w:tcW w:w="211" w:type="dxa"/>
            <w:tcBorders/>
            <w:vAlign w:val="center"/>
          </w:tcPr>
          <w:p>
            <w:pPr>
              <w:pStyle w:val="TableContents"/>
              <w:bidi w:val="0"/>
              <w:spacing w:lineRule="auto" w:line="285" w:before="0" w:after="0"/>
              <w:ind w:left="0" w:right="0" w:hanging="0"/>
              <w:jc w:val="left"/>
            </w:pPr>
            <w:r>
              <w:t>​</w:t>
            </w:r>
          </w:p>
        </w:tc>
        <w:tc>
          <w:tcPr>
            <w:tcW w:w="886" w:type="dxa"/>
            <w:tcBorders/>
            <w:vAlign w:val="center"/>
          </w:tcPr>
          <w:p>
            <w:pPr>
              <w:pStyle w:val="TableContents"/>
              <w:bidi w:val="0"/>
              <w:spacing w:lineRule="auto" w:line="285" w:before="0" w:after="0"/>
              <w:ind w:left="0" w:right="0" w:hanging="0"/>
              <w:jc w:val="center"/>
            </w:pPr>
            <w:r>
              <w:t>​</w:t>
            </w:r>
          </w:p>
        </w:tc>
      </w:tr>
      <w:tr>
        <w:tc>
          <w:tcPr>
            <w:tcW w:w="294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lineRule="auto" w:line="285" w:before="0" w:after="0"/>
              <w:ind w:left="0" w:right="0" w:hanging="0"/>
              <w:jc w:val="left"/>
            </w:pPr>
            <w:r>
              <w:t>​</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lineRule="auto" w:line="285" w:before="0" w:after="0"/>
              <w:ind w:left="0" w:right="0" w:hanging="0"/>
              <w:jc w:val="left"/>
            </w:pPr>
            <w:r>
              <w:t>​</w:t>
            </w:r>
          </w:p>
        </w:tc>
        <w:tc>
          <w:tcPr>
            <w:tcW w:w="90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lineRule="auto" w:line="285" w:before="0" w:after="0"/>
              <w:ind w:left="0" w:right="0" w:hanging="0"/>
              <w:jc w:val="left"/>
            </w:pPr>
            <w:r>
              <w:t>​</w:t>
            </w:r>
          </w:p>
        </w:tc>
        <w:tc>
          <w:tcPr>
            <w:tcW w:w="10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c>
          <w:tcPr>
            <w:tcW w:w="294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lineRule="auto" w:line="285" w:before="0" w:after="0"/>
              <w:ind w:left="0" w:right="0" w:hanging="0"/>
              <w:jc w:val="left"/>
            </w:pPr>
            <w:r>
              <w:t>​</w:t>
            </w:r>
          </w:p>
        </w:tc>
        <w:tc>
          <w:tcPr>
            <w:tcW w:w="8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lineRule="auto" w:line="285" w:before="0" w:after="0"/>
              <w:ind w:left="0" w:right="0" w:hanging="0"/>
              <w:jc w:val="left"/>
            </w:pPr>
            <w:r>
              <w:t>​</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lineRule="auto" w:line="285" w:before="0" w:after="0"/>
              <w:ind w:left="0" w:right="0" w:hanging="0"/>
              <w:jc w:val="left"/>
            </w:pPr>
            <w:r>
              <w:t>​</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161,720</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33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(1,008)</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160,712</w:t>
            </w:r>
          </w:p>
        </w:tc>
      </w:tr>
      <w:t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27,519</w:t>
            </w:r>
          </w:p>
        </w:tc>
        <w:tc>
          <w:tcPr>
            <w:tcW w:w="346" w:type="dxa"/>
            <w:tcBorders/>
            <w:vAlign w:val="center"/>
          </w:tcPr>
          <w:p>
            <w:pPr>
              <w:pStyle w:val="TableContents"/>
              <w:bidi w:val="0"/>
              <w:spacing w:lineRule="auto" w:line="285" w:before="0" w:after="0"/>
              <w:ind w:left="0" w:right="0" w:hanging="0"/>
              <w:jc w:val="left"/>
            </w:pPr>
            <w:r>
              <w:t>​</w:t>
            </w:r>
          </w:p>
        </w:tc>
        <w:tc>
          <w:tcPr>
            <w:tcW w:w="335"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5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8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27,221</w:t>
            </w:r>
          </w:p>
        </w:tc>
      </w:tr>
      <w:tr>
        <w:tc>
          <w:tcPr>
            <w:tcW w:w="2941" w:type="dxa"/>
            <w:tcBorders/>
            <w:shd w:fill="CCEEFF" w:val="clear"/>
            <w:vAlign w:val="center"/>
          </w:tcPr>
          <w:p>
            <w:pPr>
              <w:pStyle w:val="TableContents"/>
              <w:bidi w:val="0"/>
              <w:spacing w:lineRule="auto" w:line="285" w:before="0" w:after="0"/>
              <w:ind w:left="0" w:right="0" w:hanging="0"/>
              <w:jc w:val="lef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189,239</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33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(1,306)</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187,933</w:t>
            </w:r>
          </w:p>
        </w:tc>
      </w:tr>
    </w:tbl>
    <w:p>
      <w:pPr>
        <w:pStyle w:val="TextBody"/>
        <w:bidi w:val="0"/>
        <w:spacing w:lineRule="auto" w:line="285" w:before="0" w:after="0"/>
        <w:ind w:left="0" w:right="0" w:hanging="0"/>
        <w:jc w:val="left"/>
      </w:pPr>
      <w:r>
        <w:t>​</w:t>
      </w:r>
    </w:p>
    <w:tbl>
      <w:tblPr>
        <w:tblW w:w="7976" w:type="dxa"/>
        <w:jc w:val="left"/>
        <w:tblInd w:w="0" w:type="dxa"/>
        <w:tblLayout w:type="fixed"/>
        <w:tblCellMar>
          <w:top w:w="0" w:type="dxa"/>
          <w:left w:w="0" w:type="dxa"/>
          <w:bottom w:w="0" w:type="dxa"/>
          <w:right w:w="0" w:type="dxa"/>
        </w:tblCellMar>
      </w:tblPr>
      <w:tblGrid>
        <w:gridCol w:w="2941"/>
        <w:gridCol w:w="346"/>
        <w:gridCol w:w="211"/>
        <w:gridCol w:w="676"/>
        <w:gridCol w:w="346"/>
        <w:gridCol w:w="354"/>
        <w:gridCol w:w="532"/>
        <w:gridCol w:w="346"/>
        <w:gridCol w:w="335"/>
        <w:gridCol w:w="551"/>
        <w:gridCol w:w="346"/>
        <w:gridCol w:w="211"/>
        <w:gridCol w:w="781"/>
      </w:tblGrid>
      <w:t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867535" cy="175260"/>
                      <wp:effectExtent l="0" t="0" r="0" b="0"/>
                      <wp:wrapNone/>
                      <wp:docPr id="150" name="Frame150"/>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2"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29260" cy="175260"/>
                      <wp:effectExtent l="0" t="0" r="0" b="0"/>
                      <wp:wrapNone/>
                      <wp:docPr id="153" name="Frame1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24790" cy="175260"/>
                      <wp:effectExtent l="0" t="0" r="0" b="0"/>
                      <wp:wrapNone/>
                      <wp:docPr id="155" name="Frame155"/>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37820" cy="175260"/>
                      <wp:effectExtent l="0" t="0" r="0" b="0"/>
                      <wp:wrapNone/>
                      <wp:docPr id="156" name="Frame156"/>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2725" cy="175260"/>
                      <wp:effectExtent l="0" t="0" r="0" b="0"/>
                      <wp:wrapNone/>
                      <wp:docPr id="158" name="Frame158"/>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49885" cy="175260"/>
                      <wp:effectExtent l="0" t="0" r="0" b="0"/>
                      <wp:wrapNone/>
                      <wp:docPr id="159" name="Frame159"/>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95935" cy="175260"/>
                      <wp:effectExtent l="0" t="0" r="0" b="0"/>
                      <wp:wrapNone/>
                      <wp:docPr id="162" name="Frame1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294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4689" w:type="dxa"/>
            <w:gridSpan w:val="11"/>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c>
          <w:tcPr>
            <w:tcW w:w="294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211" w:type="dxa"/>
            <w:tcBorders/>
            <w:vAlign w:val="center"/>
          </w:tcPr>
          <w:p>
            <w:pPr>
              <w:pStyle w:val="TableContents"/>
              <w:bidi w:val="0"/>
              <w:spacing w:lineRule="auto" w:line="285" w:before="0" w:after="0"/>
              <w:ind w:left="0" w:right="0" w:hanging="0"/>
              <w:jc w:val="left"/>
            </w:pPr>
            <w:r>
              <w:t>​</w:t>
            </w:r>
          </w:p>
        </w:tc>
        <w:tc>
          <w:tcPr>
            <w:tcW w:w="676"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lineRule="auto" w:line="285" w:before="0" w:after="0"/>
              <w:ind w:left="0" w:right="0" w:hanging="0"/>
              <w:jc w:val="left"/>
            </w:pPr>
            <w:r>
              <w:t>  ​ ​ ​</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lineRule="auto" w:line="285" w:before="0" w:after="0"/>
              <w:ind w:left="0" w:right="0" w:hanging="0"/>
              <w:jc w:val="left"/>
            </w:pPr>
            <w:r>
              <w:t>  ​ ​ ​</w:t>
            </w:r>
          </w:p>
        </w:tc>
        <w:tc>
          <w:tcPr>
            <w:tcW w:w="211" w:type="dxa"/>
            <w:tcBorders/>
            <w:vAlign w:val="center"/>
          </w:tcPr>
          <w:p>
            <w:pPr>
              <w:pStyle w:val="TableContents"/>
              <w:bidi w:val="0"/>
              <w:spacing w:lineRule="auto" w:line="285" w:before="0" w:after="0"/>
              <w:ind w:left="0" w:right="0" w:hanging="0"/>
              <w:jc w:val="left"/>
            </w:pPr>
            <w:r>
              <w:t>​</w:t>
            </w:r>
          </w:p>
        </w:tc>
        <w:tc>
          <w:tcPr>
            <w:tcW w:w="781" w:type="dxa"/>
            <w:tcBorders/>
            <w:vAlign w:val="center"/>
          </w:tcPr>
          <w:p>
            <w:pPr>
              <w:pStyle w:val="TableContents"/>
              <w:bidi w:val="0"/>
              <w:spacing w:lineRule="auto" w:line="285" w:before="0" w:after="0"/>
              <w:ind w:left="0" w:right="0" w:hanging="0"/>
              <w:jc w:val="center"/>
            </w:pPr>
            <w:r>
              <w:t>​</w:t>
            </w:r>
          </w:p>
        </w:tc>
      </w:tr>
      <w:tr>
        <w:tc>
          <w:tcPr>
            <w:tcW w:w="294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lineRule="auto" w:line="285" w:before="0" w:after="0"/>
              <w:ind w:left="0" w:right="0" w:hanging="0"/>
              <w:jc w:val="left"/>
            </w:pPr>
            <w:r>
              <w:t>​</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lineRule="auto" w:line="285" w:before="0" w:after="0"/>
              <w:ind w:left="0" w:right="0" w:hanging="0"/>
              <w:jc w:val="left"/>
            </w:pPr>
            <w:r>
              <w:t>​</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lineRule="auto" w:line="285" w:before="0" w:after="0"/>
              <w:ind w:left="0" w:right="0" w:hanging="0"/>
              <w:jc w:val="left"/>
            </w:pPr>
            <w: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c>
          <w:tcPr>
            <w:tcW w:w="294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lineRule="auto" w:line="285" w:before="0" w:after="0"/>
              <w:ind w:left="0" w:right="0" w:hanging="0"/>
              <w:jc w:val="left"/>
            </w:pPr>
            <w:r>
              <w:t>​</w:t>
            </w:r>
          </w:p>
        </w:tc>
        <w:tc>
          <w:tcPr>
            <w:tcW w:w="8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lineRule="auto" w:line="285" w:before="0" w:after="0"/>
              <w:ind w:left="0" w:right="0" w:hanging="0"/>
              <w:jc w:val="left"/>
            </w:pPr>
            <w:r>
              <w:t>​</w:t>
            </w:r>
          </w:p>
        </w:tc>
        <w:tc>
          <w:tcPr>
            <w:tcW w:w="8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lineRule="auto" w:line="285" w:before="0" w:after="0"/>
              <w:ind w:left="0" w:right="0" w:hanging="0"/>
              <w:jc w:val="left"/>
            </w:pPr>
            <w: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38,622</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3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33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38,675</w:t>
            </w:r>
          </w:p>
        </w:tc>
      </w:tr>
      <w:t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13,489</w:t>
            </w:r>
          </w:p>
        </w:tc>
        <w:tc>
          <w:tcPr>
            <w:tcW w:w="346" w:type="dxa"/>
            <w:tcBorders/>
            <w:vAlign w:val="center"/>
          </w:tcPr>
          <w:p>
            <w:pPr>
              <w:pStyle w:val="TableContents"/>
              <w:bidi w:val="0"/>
              <w:spacing w:lineRule="auto" w:line="285" w:before="0" w:after="0"/>
              <w:ind w:left="0" w:right="0" w:hanging="0"/>
              <w:jc w:val="left"/>
            </w:pPr>
            <w:r>
              <w:t>​</w:t>
            </w:r>
          </w:p>
        </w:tc>
        <w:tc>
          <w:tcPr>
            <w:tcW w:w="354"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5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lineRule="auto" w:line="285" w:before="0" w:after="0"/>
              <w:ind w:left="0" w:right="0" w:hanging="0"/>
              <w:jc w:val="left"/>
            </w:pPr>
            <w:r>
              <w:t>​</w:t>
            </w:r>
          </w:p>
        </w:tc>
        <w:tc>
          <w:tcPr>
            <w:tcW w:w="335"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5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13,499</w:t>
            </w:r>
          </w:p>
        </w:tc>
      </w:tr>
      <w:tr>
        <w:tc>
          <w:tcPr>
            <w:tcW w:w="2941" w:type="dxa"/>
            <w:tcBorders/>
            <w:shd w:fill="CCEEFF" w:val="clear"/>
            <w:vAlign w:val="center"/>
          </w:tcPr>
          <w:p>
            <w:pPr>
              <w:pStyle w:val="TableContents"/>
              <w:bidi w:val="0"/>
              <w:spacing w:lineRule="auto" w:line="285" w:before="0" w:after="0"/>
              <w:ind w:left="0" w:right="0" w:hanging="0"/>
              <w:jc w:val="lef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52,111</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35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33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52,174</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pPr>
      <w: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color w:val="EE0000"/>
        </w:rPr>
      </w:pPr>
      <w:bookmarkStart w:id="1069" w:name="Tc_rAgpPZsWdEGCgdsuVMqemg_6_8"/>
      <w:bookmarkStart w:id="1070" w:name="Tc_0QStT1kwG0CPWeVac_dviw_6_5"/>
      <w:bookmarkStart w:id="1071" w:name="Tc_QbG433_KNEOztnmRgOFQaQ_6_2"/>
      <w:bookmarkStart w:id="1072" w:name="Tc_a62e1BQeTE62bN1TASf0hg_5_0"/>
      <w:bookmarkStart w:id="1073" w:name="Tc_ykxeLtOAVEyWCw73vXZ6aA_4_8"/>
      <w:bookmarkStart w:id="1074" w:name="Tc__pC3-G-D5EeO1cFd_nuBTw_4_5"/>
      <w:bookmarkStart w:id="1075" w:name="Tc_bzAJQLt8T0mpTXm9iaTtkw_4_2"/>
      <w:bookmarkStart w:id="1076" w:name="Tc_186d6CZ2PUqAx3BebwtOOQ_4_0"/>
      <w:bookmarkStart w:id="1077" w:name="Tc_sv8ms3BtvUu-wnS_1vhhrQ_3_8"/>
      <w:bookmarkStart w:id="1078" w:name="Tc_Tr_BOMwsYkytk4PJBlMs3A_3_5"/>
      <w:bookmarkStart w:id="1079" w:name="Tc_uddb44Ev-0yRHiesdzm5ZA_3_2"/>
      <w:bookmarkStart w:id="1080" w:name="Tc_5j5iP8cWPESMDV6-XEhcOg_2_5"/>
      <w:bookmarkStart w:id="1081" w:name="Tc_q4_1aXSg802ZwHS5kqy0Dw_1_2"/>
      <w:bookmarkStart w:id="1082" w:name="_84c70dbf_3ce3_4eff_8c3d_996edd911d3a"/>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r>
        <w:rPr>
          <w:color w:val="EE0000"/>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2026, all of the Company’s marketable securities are considered available for current operations and the remaining maturity by type of security is as follows (in thousands):</w:t>
      </w:r>
    </w:p>
    <w:p>
      <w:pPr>
        <w:pStyle w:val="TextBody"/>
        <w:bidi w:val="0"/>
        <w:spacing w:lineRule="auto" w:line="285" w:before="0" w:after="0"/>
        <w:ind w:left="0" w:right="0" w:hanging="0"/>
        <w:jc w:val="left"/>
        <w:rPr>
          <w:color w:val="EE0000"/>
        </w:rPr>
      </w:pPr>
      <w:r>
        <w:rPr>
          <w:color w:val="EE0000"/>
        </w:rPr>
        <w:t>​</w:t>
      </w:r>
    </w:p>
    <w:tbl>
      <w:tblPr>
        <w:tblW w:w="6955" w:type="dxa"/>
        <w:jc w:val="left"/>
        <w:tblInd w:w="0" w:type="dxa"/>
        <w:tblLayout w:type="fixed"/>
        <w:tblCellMar>
          <w:top w:w="0" w:type="dxa"/>
          <w:left w:w="0" w:type="dxa"/>
          <w:bottom w:w="0" w:type="dxa"/>
          <w:right w:w="0" w:type="dxa"/>
        </w:tblCellMar>
      </w:tblPr>
      <w:tblGrid>
        <w:gridCol w:w="2941"/>
        <w:gridCol w:w="346"/>
        <w:gridCol w:w="211"/>
        <w:gridCol w:w="781"/>
        <w:gridCol w:w="346"/>
        <w:gridCol w:w="211"/>
        <w:gridCol w:w="781"/>
        <w:gridCol w:w="346"/>
        <w:gridCol w:w="211"/>
        <w:gridCol w:w="781"/>
      </w:tblGrid>
      <w:t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867535" cy="175260"/>
                      <wp:effectExtent l="0" t="0" r="0" b="0"/>
                      <wp:wrapNone/>
                      <wp:docPr id="163" name="Frame163"/>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95935" cy="175260"/>
                      <wp:effectExtent l="0" t="0" r="0" b="0"/>
                      <wp:wrapNone/>
                      <wp:docPr id="166" name="Frame1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95935" cy="175260"/>
                      <wp:effectExtent l="0" t="0" r="0" b="0"/>
                      <wp:wrapNone/>
                      <wp:docPr id="169" name="Frame1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95935" cy="175260"/>
                      <wp:effectExtent l="0" t="0" r="0" b="0"/>
                      <wp:wrapNone/>
                      <wp:docPr id="172" name="Frame1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294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3668"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Maturities by Period at Amortized Cost</w:t>
            </w:r>
          </w:p>
        </w:tc>
      </w:tr>
      <w:tr>
        <w:tc>
          <w:tcPr>
            <w:tcW w:w="294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w:t>
            </w:r>
          </w:p>
        </w:tc>
        <w:tc>
          <w:tcPr>
            <w:tcW w:w="78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b/>
                <w:sz w:val="16"/>
              </w:rPr>
              <w:t>Less</w:t>
            </w:r>
            <w:r>
              <w:rPr>
                <w:rFonts w:ascii="Times New Roman;Times;serif" w:hAnsi="Times New Roman;Times;serif"/>
                <w:sz w:val="16"/>
              </w:rPr>
              <w:t> </w:t>
            </w:r>
            <w:r>
              <w:rPr>
                <w:rFonts w:ascii="Times New Roman;Times;serif" w:hAnsi="Times New Roman;Times;serif"/>
                <w:b/>
                <w:sz w:val="16"/>
              </w:rPr>
              <w:t>than</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w:t>
            </w:r>
          </w:p>
        </w:tc>
        <w:tc>
          <w:tcPr>
            <w:tcW w:w="781" w:type="dxa"/>
            <w:tcBorders/>
            <w:vAlign w:val="center"/>
          </w:tcPr>
          <w:p>
            <w:pPr>
              <w:pStyle w:val="TableContents"/>
              <w:bidi w:val="0"/>
              <w:spacing w:lineRule="auto" w:line="285" w:before="0" w:after="0"/>
              <w:ind w:left="0" w:right="0" w:hanging="0"/>
              <w:jc w:val="left"/>
            </w:pPr>
            <w:r>
              <w:t>​</w:t>
            </w:r>
          </w:p>
        </w:tc>
      </w:tr>
      <w:tr>
        <w:tc>
          <w:tcPr>
            <w:tcW w:w="294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lineRule="auto" w:line="285" w:before="0" w:after="0"/>
              <w:ind w:left="0" w:right="0" w:hanging="0"/>
              <w:jc w:val="left"/>
            </w:pPr>
            <w: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1 Year</w:t>
            </w:r>
          </w:p>
        </w:tc>
        <w:tc>
          <w:tcPr>
            <w:tcW w:w="346" w:type="dxa"/>
            <w:tcBorders/>
            <w:vAlign w:val="center"/>
          </w:tcPr>
          <w:p>
            <w:pPr>
              <w:pStyle w:val="TableContents"/>
              <w:bidi w:val="0"/>
              <w:spacing w:lineRule="auto" w:line="285" w:before="0" w:after="0"/>
              <w:ind w:left="0" w:right="0" w:hanging="0"/>
              <w:jc w:val="left"/>
            </w:pPr>
            <w: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1-2 years</w:t>
            </w:r>
          </w:p>
        </w:tc>
      </w:tr>
      <w:t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161,720</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102,640</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59,080</w:t>
            </w:r>
          </w:p>
        </w:tc>
      </w:tr>
      <w:t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27,519</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10,217</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17,302</w:t>
            </w:r>
          </w:p>
        </w:tc>
      </w:tr>
      <w:tr>
        <w:tc>
          <w:tcPr>
            <w:tcW w:w="2941" w:type="dxa"/>
            <w:tcBorders/>
            <w:shd w:fill="CCEEFF" w:val="clear"/>
            <w:vAlign w:val="center"/>
          </w:tcPr>
          <w:p>
            <w:pPr>
              <w:pStyle w:val="TableContents"/>
              <w:bidi w:val="0"/>
              <w:spacing w:lineRule="auto" w:line="285" w:before="0" w:after="0"/>
              <w:ind w:left="0" w:right="0" w:hanging="0"/>
              <w:jc w:val="lef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189,239</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112,857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76,382</w:t>
            </w:r>
          </w:p>
        </w:tc>
      </w:tr>
    </w:tbl>
    <w:p>
      <w:pPr>
        <w:pStyle w:val="TextBody"/>
        <w:bidi w:val="0"/>
        <w:spacing w:lineRule="auto" w:line="285" w:before="0" w:after="0"/>
        <w:ind w:left="0" w:right="0" w:hanging="0"/>
        <w:jc w:val="left"/>
        <w:rPr>
          <w:color w:val="EE0000"/>
        </w:rPr>
      </w:pPr>
      <w:r>
        <w:rPr>
          <w:color w:val="EE0000"/>
        </w:rPr>
        <w:t>​</w:t>
      </w:r>
    </w:p>
    <w:p>
      <w:pPr>
        <w:pStyle w:val="TextBody"/>
        <w:bidi w:val="0"/>
        <w:spacing w:lineRule="auto" w:line="285" w:before="0" w:after="0"/>
        <w:ind w:left="0" w:right="0" w:hanging="0"/>
        <w:jc w:val="left"/>
        <w:rPr>
          <w:color w:val="EE0000"/>
        </w:rPr>
      </w:pPr>
      <w:r>
        <w:rPr>
          <w:color w:val="EE0000"/>
        </w:rPr>
        <w:t>​</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pPr>
      <w:r>
        <w:t>​</w:t>
      </w:r>
    </w:p>
    <w:p>
      <w:pPr>
        <w:pStyle w:val="TextBody"/>
        <w:bidi w:val="0"/>
        <w:spacing w:lineRule="auto" w:line="285" w:before="0" w:after="240"/>
        <w:ind w:left="0" w:right="0" w:hanging="0"/>
        <w:jc w:val="left"/>
        <w:rPr>
          <w:rFonts w:ascii="Times New Roman;Times;serif" w:hAnsi="Times New Roman;Times;serif"/>
          <w:b/>
          <w:sz w:val="20"/>
        </w:rPr>
      </w:pPr>
      <w:bookmarkStart w:id="1083" w:name="Tc_wGCHoWwFzkuhV2qpG0sObw_8_0"/>
      <w:bookmarkStart w:id="1084" w:name="Tc_gdpnPgwwRkqWrEILKjsdIA_7_0"/>
      <w:bookmarkStart w:id="1085" w:name="Tc_sodTcfslDEaNoraA30lOyw_6_0"/>
      <w:bookmarkStart w:id="1086" w:name="Tc_RLx94oxEVUWL4aPmCsLyGw_5_0"/>
      <w:bookmarkStart w:id="1087" w:name="Tc_2ypkpD3wy0qSuFysqdxxBw_4_5"/>
      <w:bookmarkStart w:id="1088" w:name="Tc_Y8kb1NtHTUmm9izli0TWmA_4_2"/>
      <w:bookmarkStart w:id="1089" w:name="Tc_yFIPAmZ3Dki4B4KI6-oCyA_4_0"/>
      <w:bookmarkStart w:id="1090" w:name="Tc_B3sQ2rhSMUSFw8DM9JyQKA_3_2"/>
      <w:bookmarkStart w:id="1091" w:name="Tc_D9S3q-OrLEm0dfE3dhLmuw_2_5"/>
      <w:bookmarkStart w:id="1092" w:name="Tc_jEdqpM72H0GxSAF8uoSAow_2_2"/>
      <w:bookmarkStart w:id="1093" w:name="Tc_pLhNXwAQEUa0z8pTrgZBhA_2_0"/>
      <w:bookmarkStart w:id="1094" w:name="Tc_zhEeyUJklkO21fXcn2z4qA_1_6"/>
      <w:bookmarkStart w:id="1095" w:name="Tc_Ek69u7yD606WpB2xG35AVg_1_3"/>
      <w:bookmarkStart w:id="1096" w:name="_ae9d14fc_4f5a_47a9_9a20_f2c5874c5c6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r>
        <w:rPr>
          <w:rFonts w:ascii="Times New Roman;Times;serif" w:hAnsi="Times New Roman;Times;serif"/>
          <w:b/>
          <w:sz w:val="20"/>
        </w:rPr>
        <w:t>6. Equity Method Investment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Angel Pharmaceuticals Co. Ltd. (“Angel Pharmaceuticals”) is a corporate venture in the People’s Republic of China designed to develop, manufacture, and commercialize soquelitinib, ciforadenant and mupadolimab compounds for distribution within the countries of China, Taiwan, Macao, and Hong Kong based on intellectual property licenses contributed to Angel Pharmaceuticals by the Company.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June 2026, Angel Pharmaceuticals completed an equity financing, raising approximately $13.4 million, including a $5.0 million investment by the Company. Following the financing, the Company's ownership interest in Angel Pharmaceuticals was approximately 49%, excluding 6% of Angel Pharmaceuticals' equity reserved for issuance under the Angel Pharmaceuticals Employee Stock Ownership Plan (“ESOP”). In connection with the financing, the Company concluded that Angel Pharmaceuticals continues to be a variable interest entity and that the Company is not the primary beneficiary. Accordingly, the Company continues to account for its investment in Angel Pharmaceuticals under the equity method of accounting.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September 30, 2026 and December 31, 2025, the Company’s ownership interest in Angel Pharmaceuticals was approximately 48.6% and 49.7%, respectively, excluding 6.4% and 7.0%, respectively, of Angel Pharmaceuticals’ equity reserved for issuance under the Angel Pharmaceuticals ESOP. The Company recognized its share of loss in Angel Pharmaceuticals for the total amount of $0.9 million and $2.2 million as loss from equity method investment in the condensed consolidated statement of operations for the three and nine months ended September 30, 2026, respectively.</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Summary Financial Information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Summary financial information for Angel Pharmaceuticals is as follows:</w:t>
      </w:r>
    </w:p>
    <w:tbl>
      <w:tblPr>
        <w:tblW w:w="5466" w:type="dxa"/>
        <w:jc w:val="left"/>
        <w:tblInd w:w="0" w:type="dxa"/>
        <w:tblLayout w:type="fixed"/>
        <w:tblCellMar>
          <w:top w:w="0" w:type="dxa"/>
          <w:left w:w="0" w:type="dxa"/>
          <w:bottom w:w="0" w:type="dxa"/>
          <w:right w:w="0" w:type="dxa"/>
        </w:tblCellMar>
      </w:tblPr>
      <w:tblGrid>
        <w:gridCol w:w="1921"/>
        <w:gridCol w:w="346"/>
        <w:gridCol w:w="367"/>
        <w:gridCol w:w="1178"/>
        <w:gridCol w:w="109"/>
        <w:gridCol w:w="328"/>
        <w:gridCol w:w="1217"/>
      </w:tblGrid>
      <w:t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219835" cy="175260"/>
                      <wp:effectExtent l="0" t="0" r="0" b="0"/>
                      <wp:wrapNone/>
                      <wp:docPr id="173" name="Frame173"/>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33045" cy="175260"/>
                      <wp:effectExtent l="0" t="0" r="0" b="0"/>
                      <wp:wrapNone/>
                      <wp:docPr id="175" name="Frame175"/>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748030" cy="175260"/>
                      <wp:effectExtent l="0" t="0" r="0" b="0"/>
                      <wp:wrapNone/>
                      <wp:docPr id="176" name="Frame176"/>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8280" cy="175260"/>
                      <wp:effectExtent l="0" t="0" r="0" b="0"/>
                      <wp:wrapNone/>
                      <wp:docPr id="178" name="Frame178"/>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772795" cy="175260"/>
                      <wp:effectExtent l="0" t="0" r="0" b="0"/>
                      <wp:wrapNone/>
                      <wp:docPr id="179" name="Frame179"/>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192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367" w:type="dxa"/>
            <w:tcBorders/>
            <w:vAlign w:val="center"/>
          </w:tcPr>
          <w:p>
            <w:pPr>
              <w:pStyle w:val="TableContents"/>
              <w:bidi w:val="0"/>
              <w:spacing w:lineRule="auto" w:line="285" w:before="0" w:after="0"/>
              <w:ind w:left="0" w:right="0" w:hanging="0"/>
              <w:jc w:val="left"/>
            </w:pPr>
            <w:r>
              <w:t>​</w:t>
            </w:r>
          </w:p>
        </w:tc>
        <w:tc>
          <w:tcPr>
            <w:tcW w:w="1178"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109" w:type="dxa"/>
            <w:tcBorders/>
            <w:vAlign w:val="center"/>
          </w:tcPr>
          <w:p>
            <w:pPr>
              <w:pStyle w:val="TableContents"/>
              <w:bidi w:val="0"/>
              <w:spacing w:lineRule="auto" w:line="285" w:before="0" w:after="0"/>
              <w:ind w:left="0" w:right="0" w:hanging="0"/>
              <w:jc w:val="left"/>
            </w:pPr>
            <w:r>
              <w:t>​</w:t>
            </w:r>
          </w:p>
        </w:tc>
        <w:tc>
          <w:tcPr>
            <w:tcW w:w="328" w:type="dxa"/>
            <w:tcBorders/>
            <w:vAlign w:val="center"/>
          </w:tcPr>
          <w:p>
            <w:pPr>
              <w:pStyle w:val="TableContents"/>
              <w:bidi w:val="0"/>
              <w:spacing w:lineRule="auto" w:line="285" w:before="0" w:after="0"/>
              <w:ind w:left="0" w:right="0" w:hanging="0"/>
              <w:jc w:val="left"/>
            </w:pPr>
            <w:r>
              <w:t>​</w:t>
            </w:r>
          </w:p>
        </w:tc>
        <w:tc>
          <w:tcPr>
            <w:tcW w:w="1217"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c>
          <w:tcPr>
            <w:tcW w:w="19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Balance Sheet Data</w:t>
            </w:r>
          </w:p>
        </w:tc>
        <w:tc>
          <w:tcPr>
            <w:tcW w:w="346" w:type="dxa"/>
            <w:tcBorders/>
            <w:vAlign w:val="center"/>
          </w:tcPr>
          <w:p>
            <w:pPr>
              <w:pStyle w:val="TableContents"/>
              <w:bidi w:val="0"/>
              <w:spacing w:lineRule="auto" w:line="285" w:before="0" w:after="0"/>
              <w:ind w:left="0" w:right="0" w:hanging="0"/>
              <w:jc w:val="left"/>
            </w:pPr>
            <w:r>
              <w:t>  ​ ​ ​</w:t>
            </w:r>
          </w:p>
        </w:tc>
        <w:tc>
          <w:tcPr>
            <w:tcW w:w="15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2026</w:t>
            </w:r>
          </w:p>
        </w:tc>
        <w:tc>
          <w:tcPr>
            <w:tcW w:w="109" w:type="dxa"/>
            <w:tcBorders/>
            <w:vAlign w:val="center"/>
          </w:tcPr>
          <w:p>
            <w:pPr>
              <w:pStyle w:val="TableContents"/>
              <w:bidi w:val="0"/>
              <w:spacing w:lineRule="auto" w:line="285" w:before="0" w:after="0"/>
              <w:ind w:left="0" w:right="0" w:hanging="0"/>
              <w:jc w:val="left"/>
            </w:pPr>
            <w:r>
              <w:t>​</w:t>
            </w:r>
          </w:p>
        </w:tc>
        <w:tc>
          <w:tcPr>
            <w:tcW w:w="15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c>
          <w:tcPr>
            <w:tcW w:w="5466" w:type="dxa"/>
            <w:gridSpan w:val="7"/>
            <w:tcBorders/>
            <w:vAlign w:val="center"/>
          </w:tcPr>
          <w:p>
            <w:pPr>
              <w:pStyle w:val="TableContents"/>
              <w:bidi w:val="0"/>
              <w:spacing w:before="0" w:after="283"/>
              <w:ind w:left="0" w:right="0" w:hanging="0"/>
              <w:jc w:val="left"/>
              <w:rPr>
                <w:sz w:val="4"/>
                <w:szCs w:val="4"/>
              </w:rPr>
            </w:pPr>
            <w:r>
              <w:rPr>
                <w:sz w:val="4"/>
                <w:szCs w:val="4"/>
              </w:rPr>
            </w:r>
          </w:p>
        </w:tc>
      </w:tr>
      <w:tr>
        <w:tc>
          <w:tcPr>
            <w:tcW w:w="192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 </w:t>
            </w:r>
          </w:p>
        </w:tc>
        <w:tc>
          <w:tcPr>
            <w:tcW w:w="3199"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c>
          <w:tcPr>
            <w:tcW w:w="19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36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22,549</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3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11,033</w:t>
            </w:r>
          </w:p>
        </w:tc>
      </w:tr>
      <w:tr>
        <w:tc>
          <w:tcPr>
            <w:tcW w:w="19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346" w:type="dxa"/>
            <w:tcBorders/>
            <w:vAlign w:val="center"/>
          </w:tcPr>
          <w:p>
            <w:pPr>
              <w:pStyle w:val="TableContents"/>
              <w:bidi w:val="0"/>
              <w:spacing w:lineRule="auto" w:line="285" w:before="0" w:after="0"/>
              <w:ind w:left="0" w:right="0" w:hanging="0"/>
              <w:jc w:val="left"/>
            </w:pPr>
            <w:r>
              <w:t>​</w:t>
            </w:r>
          </w:p>
        </w:tc>
        <w:tc>
          <w:tcPr>
            <w:tcW w:w="367" w:type="dxa"/>
            <w:tcBorders/>
            <w:vAlign w:val="center"/>
          </w:tcPr>
          <w:p>
            <w:pPr>
              <w:pStyle w:val="TableContents"/>
              <w:bidi w:val="0"/>
              <w:spacing w:lineRule="auto" w:line="285" w:before="0" w:after="0"/>
              <w:ind w:left="0" w:right="0" w:hanging="0"/>
              <w:jc w:val="left"/>
            </w:pPr>
            <w:r>
              <w:t> </w:t>
            </w:r>
          </w:p>
        </w:tc>
        <w:tc>
          <w:tcPr>
            <w:tcW w:w="117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632</w:t>
            </w:r>
          </w:p>
        </w:tc>
        <w:tc>
          <w:tcPr>
            <w:tcW w:w="109" w:type="dxa"/>
            <w:tcBorders/>
            <w:vAlign w:val="center"/>
          </w:tcPr>
          <w:p>
            <w:pPr>
              <w:pStyle w:val="TableContents"/>
              <w:bidi w:val="0"/>
              <w:spacing w:lineRule="auto" w:line="285" w:before="0" w:after="0"/>
              <w:ind w:left="0" w:right="0" w:hanging="0"/>
              <w:jc w:val="left"/>
            </w:pPr>
            <w:r>
              <w:t>​</w:t>
            </w:r>
          </w:p>
        </w:tc>
        <w:tc>
          <w:tcPr>
            <w:tcW w:w="328" w:type="dxa"/>
            <w:tcBorders/>
            <w:vAlign w:val="center"/>
          </w:tcPr>
          <w:p>
            <w:pPr>
              <w:pStyle w:val="TableContents"/>
              <w:bidi w:val="0"/>
              <w:spacing w:lineRule="auto" w:line="285" w:before="0" w:after="0"/>
              <w:ind w:left="0" w:right="0" w:hanging="0"/>
              <w:jc w:val="left"/>
            </w:pPr>
            <w:r>
              <w:t> </w:t>
            </w:r>
          </w:p>
        </w:tc>
        <w:tc>
          <w:tcPr>
            <w:tcW w:w="121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904</w:t>
            </w:r>
          </w:p>
        </w:tc>
      </w:tr>
      <w:tr>
        <w:tc>
          <w:tcPr>
            <w:tcW w:w="19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367" w:type="dxa"/>
            <w:tcBorders/>
            <w:shd w:fill="CCEEFF" w:val="clear"/>
            <w:vAlign w:val="center"/>
          </w:tcPr>
          <w:p>
            <w:pPr>
              <w:pStyle w:val="TableContents"/>
              <w:bidi w:val="0"/>
              <w:spacing w:lineRule="auto" w:line="285" w:before="0" w:after="0"/>
              <w:ind w:left="0" w:right="0" w:hanging="0"/>
              <w:jc w:val="left"/>
            </w:pPr>
            <w:r>
              <w:t> </w:t>
            </w:r>
          </w:p>
        </w:tc>
        <w:tc>
          <w:tcPr>
            <w:tcW w:w="11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959</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328" w:type="dxa"/>
            <w:tcBorders/>
            <w:shd w:fill="CCEEFF" w:val="clear"/>
            <w:vAlign w:val="center"/>
          </w:tcPr>
          <w:p>
            <w:pPr>
              <w:pStyle w:val="TableContents"/>
              <w:bidi w:val="0"/>
              <w:spacing w:lineRule="auto" w:line="285" w:before="0" w:after="0"/>
              <w:ind w:left="0" w:right="0" w:hanging="0"/>
              <w:jc w:val="left"/>
            </w:pPr>
            <w:r>
              <w:t> </w:t>
            </w:r>
          </w:p>
        </w:tc>
        <w:tc>
          <w:tcPr>
            <w:tcW w:w="12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1,049</w:t>
            </w:r>
          </w:p>
        </w:tc>
      </w:tr>
      <w:tr>
        <w:tc>
          <w:tcPr>
            <w:tcW w:w="19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vAlign w:val="center"/>
          </w:tcPr>
          <w:p>
            <w:pPr>
              <w:pStyle w:val="TableContents"/>
              <w:bidi w:val="0"/>
              <w:spacing w:lineRule="auto" w:line="285" w:before="0" w:after="0"/>
              <w:ind w:left="0" w:right="0" w:hanging="0"/>
              <w:jc w:val="left"/>
            </w:pPr>
            <w:r>
              <w:t>​</w:t>
            </w:r>
          </w:p>
        </w:tc>
        <w:tc>
          <w:tcPr>
            <w:tcW w:w="367" w:type="dxa"/>
            <w:tcBorders/>
            <w:vAlign w:val="center"/>
          </w:tcPr>
          <w:p>
            <w:pPr>
              <w:pStyle w:val="TableContents"/>
              <w:bidi w:val="0"/>
              <w:spacing w:lineRule="auto" w:line="285" w:before="0" w:after="0"/>
              <w:ind w:left="0" w:right="0" w:hanging="0"/>
              <w:jc w:val="left"/>
            </w:pPr>
            <w:r>
              <w:t> </w:t>
            </w:r>
          </w:p>
        </w:tc>
        <w:tc>
          <w:tcPr>
            <w:tcW w:w="117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09" w:type="dxa"/>
            <w:tcBorders/>
            <w:vAlign w:val="center"/>
          </w:tcPr>
          <w:p>
            <w:pPr>
              <w:pStyle w:val="TableContents"/>
              <w:bidi w:val="0"/>
              <w:spacing w:lineRule="auto" w:line="285" w:before="0" w:after="0"/>
              <w:ind w:left="0" w:right="0" w:hanging="0"/>
              <w:jc w:val="left"/>
            </w:pPr>
            <w:r>
              <w:t>​</w:t>
            </w:r>
          </w:p>
        </w:tc>
        <w:tc>
          <w:tcPr>
            <w:tcW w:w="328" w:type="dxa"/>
            <w:tcBorders/>
            <w:vAlign w:val="center"/>
          </w:tcPr>
          <w:p>
            <w:pPr>
              <w:pStyle w:val="TableContents"/>
              <w:bidi w:val="0"/>
              <w:spacing w:lineRule="auto" w:line="285" w:before="0" w:after="0"/>
              <w:ind w:left="0" w:right="0" w:hanging="0"/>
              <w:jc w:val="left"/>
            </w:pPr>
            <w:r>
              <w:t> </w:t>
            </w:r>
          </w:p>
        </w:tc>
        <w:tc>
          <w:tcPr>
            <w:tcW w:w="121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c>
          <w:tcPr>
            <w:tcW w:w="19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367" w:type="dxa"/>
            <w:tcBorders/>
            <w:shd w:fill="CCEEFF" w:val="clear"/>
            <w:vAlign w:val="center"/>
          </w:tcPr>
          <w:p>
            <w:pPr>
              <w:pStyle w:val="TableContents"/>
              <w:bidi w:val="0"/>
              <w:spacing w:lineRule="auto" w:line="285" w:before="0" w:after="0"/>
              <w:ind w:left="0" w:right="0" w:hanging="0"/>
              <w:jc w:val="left"/>
            </w:pPr>
            <w:r>
              <w:t>​</w:t>
            </w:r>
          </w:p>
        </w:tc>
        <w:tc>
          <w:tcPr>
            <w:tcW w:w="11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22,184</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328" w:type="dxa"/>
            <w:tcBorders/>
            <w:shd w:fill="CCEEFF" w:val="clear"/>
            <w:vAlign w:val="center"/>
          </w:tcPr>
          <w:p>
            <w:pPr>
              <w:pStyle w:val="TableContents"/>
              <w:bidi w:val="0"/>
              <w:spacing w:lineRule="auto" w:line="285" w:before="0" w:after="0"/>
              <w:ind w:left="0" w:right="0" w:hanging="0"/>
              <w:jc w:val="left"/>
            </w:pPr>
            <w:r>
              <w:t>​</w:t>
            </w:r>
          </w:p>
        </w:tc>
        <w:tc>
          <w:tcPr>
            <w:tcW w:w="1217"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10,659</w:t>
            </w:r>
          </w:p>
        </w:tc>
      </w:tr>
    </w:tbl>
    <w:p>
      <w:pPr>
        <w:pStyle w:val="TextBody"/>
        <w:bidi w:val="0"/>
        <w:spacing w:lineRule="auto" w:line="285" w:before="0" w:after="0"/>
        <w:ind w:left="0" w:right="0" w:hanging="0"/>
        <w:jc w:val="left"/>
        <w:rPr>
          <w:color w:val="EE0000"/>
        </w:rPr>
      </w:pPr>
      <w:r>
        <w:rPr>
          <w:color w:val="EE0000"/>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097" w:name="Tc_zghlyWaGcU2Ii_R5c5FBuw_8_0"/>
      <w:bookmarkStart w:id="1098" w:name="Tc_37egq22csU-UfCTesKN20g_7_0"/>
      <w:bookmarkStart w:id="1099" w:name="Tc_31tB9LzrTkClVx8arO5mCA_6_13"/>
      <w:bookmarkStart w:id="1100" w:name="Tc_jISq5-nqu0qjFgKrit3Eag_6_10"/>
      <w:bookmarkStart w:id="1101" w:name="Tc_bZd5SoI6-0CfJCP8SQwlLQ_6_7"/>
      <w:bookmarkStart w:id="1102" w:name="Tc_Vn3LfOA4pky2v8Ps51Ymwg_6_4"/>
      <w:bookmarkStart w:id="1103" w:name="Tc_K0-qA6u1hkmg7rawkYOFKg_6_0"/>
      <w:bookmarkStart w:id="1104" w:name="Tc_eRQFdH9aJkWlBlqMFH82dA_5_13"/>
      <w:bookmarkStart w:id="1105" w:name="Tc_1MepJ7rVYEK206xeeRax2A_5_12"/>
      <w:bookmarkStart w:id="1106" w:name="Tc_1vkETCr6bkSdjcCXE62llg_5_10"/>
      <w:bookmarkStart w:id="1107" w:name="Tc_5tlL5v5Oj0miksvHMfBgCA_5_9"/>
      <w:bookmarkStart w:id="1108" w:name="Tc_MV7WvQhuxUSP6E2vKMol8w_5_7"/>
      <w:bookmarkStart w:id="1109" w:name="Tc_rOiWd8ta7kW6gsOH8iS-TQ_5_6"/>
      <w:bookmarkStart w:id="1110" w:name="Tc_PjieRywrd0ejrxDvK5qSXg_5_4"/>
      <w:bookmarkStart w:id="1111" w:name="Tc_D7DhA8vmY0e75_bUzUsv7g_5_3"/>
      <w:bookmarkStart w:id="1112" w:name="Tc__VjDRPWLjEuLvHXE-EIB7g_5_0"/>
      <w:bookmarkStart w:id="1113" w:name="Tc_wsTDAfsXJkSscUT7BwhUpA_4_3"/>
      <w:bookmarkStart w:id="1114" w:name="Tc_KA7flkMk0Eqs9Y_zEfYsBw_3_12"/>
      <w:bookmarkStart w:id="1115" w:name="Tc_Lrsp8iu2zE6YaBIIlkQ_wg_3_9"/>
      <w:bookmarkStart w:id="1116" w:name="Tc_RWzIKy_d6E6VYJ0FJGOlfQ_3_6"/>
      <w:bookmarkStart w:id="1117" w:name="Tc_X8N_kDwz6ka9bX_gotT7eg_3_3"/>
      <w:bookmarkStart w:id="1118" w:name="Tc_VTVYCV7Vp0iedpgCwKnKhg_3_0"/>
      <w:bookmarkStart w:id="1119" w:name="Tc_4mwepeHflEymA1zyQ3CX6A_2_9"/>
      <w:bookmarkStart w:id="1120" w:name="Tc_v4bS3GmsD0GAuFk0T0oYmQ_2_3"/>
      <w:bookmarkStart w:id="1121" w:name="Tc_nvpHJgDH5UilRPrCz7k2xA_1_9"/>
      <w:bookmarkStart w:id="1122" w:name="Tc_KOdDXPzkPEqqf1oOnNI_bQ_1_3"/>
      <w:bookmarkStart w:id="1123" w:name="Tc_zghlyWaGcU2Ii_R5c5FBuw_8_0"/>
      <w:bookmarkStart w:id="1124" w:name="Tc_37egq22csU-UfCTesKN20g_7_0"/>
      <w:bookmarkStart w:id="1125" w:name="Tc_31tB9LzrTkClVx8arO5mCA_6_13"/>
      <w:bookmarkStart w:id="1126" w:name="Tc_jISq5-nqu0qjFgKrit3Eag_6_10"/>
      <w:bookmarkStart w:id="1127" w:name="Tc_bZd5SoI6-0CfJCP8SQwlLQ_6_7"/>
      <w:bookmarkStart w:id="1128" w:name="Tc_Vn3LfOA4pky2v8Ps51Ymwg_6_4"/>
      <w:bookmarkStart w:id="1129" w:name="Tc_K0-qA6u1hkmg7rawkYOFKg_6_0"/>
      <w:bookmarkStart w:id="1130" w:name="Tc_eRQFdH9aJkWlBlqMFH82dA_5_13"/>
      <w:bookmarkStart w:id="1131" w:name="Tc_1MepJ7rVYEK206xeeRax2A_5_12"/>
      <w:bookmarkStart w:id="1132" w:name="Tc_1vkETCr6bkSdjcCXE62llg_5_10"/>
      <w:bookmarkStart w:id="1133" w:name="Tc_5tlL5v5Oj0miksvHMfBgCA_5_9"/>
      <w:bookmarkStart w:id="1134" w:name="Tc_MV7WvQhuxUSP6E2vKMol8w_5_7"/>
      <w:bookmarkStart w:id="1135" w:name="Tc_rOiWd8ta7kW6gsOH8iS-TQ_5_6"/>
      <w:bookmarkStart w:id="1136" w:name="Tc_PjieRywrd0ejrxDvK5qSXg_5_4"/>
      <w:bookmarkStart w:id="1137" w:name="Tc_D7DhA8vmY0e75_bUzUsv7g_5_3"/>
      <w:bookmarkStart w:id="1138" w:name="Tc__VjDRPWLjEuLvHXE-EIB7g_5_0"/>
      <w:bookmarkStart w:id="1139" w:name="Tc_wsTDAfsXJkSscUT7BwhUpA_4_3"/>
      <w:bookmarkStart w:id="1140" w:name="Tc_KA7flkMk0Eqs9Y_zEfYsBw_3_12"/>
      <w:bookmarkStart w:id="1141" w:name="Tc_Lrsp8iu2zE6YaBIIlkQ_wg_3_9"/>
      <w:bookmarkStart w:id="1142" w:name="Tc_RWzIKy_d6E6VYJ0FJGOlfQ_3_6"/>
      <w:bookmarkStart w:id="1143" w:name="Tc_X8N_kDwz6ka9bX_gotT7eg_3_3"/>
      <w:bookmarkStart w:id="1144" w:name="Tc_VTVYCV7Vp0iedpgCwKnKhg_3_0"/>
      <w:bookmarkStart w:id="1145" w:name="Tc_4mwepeHflEymA1zyQ3CX6A_2_9"/>
      <w:bookmarkStart w:id="1146" w:name="Tc_v4bS3GmsD0GAuFk0T0oYmQ_2_3"/>
      <w:bookmarkStart w:id="1147" w:name="Tc_nvpHJgDH5UilRPrCz7k2xA_1_9"/>
      <w:bookmarkStart w:id="1148" w:name="Tc_KOdDXPzkPEqqf1oOnNI_bQ_1_3"/>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p>
    <w:tbl>
      <w:tblPr>
        <w:tblW w:w="10155" w:type="dxa"/>
        <w:jc w:val="left"/>
        <w:tblInd w:w="0" w:type="dxa"/>
        <w:tblLayout w:type="fixed"/>
        <w:tblCellMar>
          <w:top w:w="0" w:type="dxa"/>
          <w:left w:w="0" w:type="dxa"/>
          <w:bottom w:w="0" w:type="dxa"/>
          <w:right w:w="0" w:type="dxa"/>
        </w:tblCellMar>
      </w:tblPr>
      <w:tblGrid>
        <w:gridCol w:w="5761"/>
        <w:gridCol w:w="346"/>
        <w:gridCol w:w="109"/>
        <w:gridCol w:w="211"/>
        <w:gridCol w:w="691"/>
        <w:gridCol w:w="109"/>
        <w:gridCol w:w="211"/>
        <w:gridCol w:w="541"/>
        <w:gridCol w:w="109"/>
        <w:gridCol w:w="211"/>
        <w:gridCol w:w="691"/>
        <w:gridCol w:w="109"/>
        <w:gridCol w:w="211"/>
        <w:gridCol w:w="691"/>
        <w:gridCol w:w="154"/>
      </w:tblGrid>
      <w:tr>
        <w:tc>
          <w:tcPr>
            <w:tcW w:w="5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658235" cy="175260"/>
                      <wp:effectExtent l="0" t="0" r="0" b="0"/>
                      <wp:wrapNone/>
                      <wp:docPr id="180" name="Frame180"/>
                      <a:graphic xmlns:a="http://schemas.openxmlformats.org/drawingml/2006/main">
                        <a:graphicData uri="http://schemas.microsoft.com/office/word/2010/wordprocessingShape">
                          <wps:wsp>
                            <wps:cNvSpPr txBox="1"/>
                            <wps:spPr>
                              <a:xfrm>
                                <a:off x="0" y="0"/>
                                <a:ext cx="36582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82"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38785" cy="175260"/>
                      <wp:effectExtent l="0" t="0" r="0" b="0"/>
                      <wp:wrapNone/>
                      <wp:docPr id="184" name="Frame18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85" name="Frame1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86"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43535" cy="175260"/>
                      <wp:effectExtent l="0" t="0" r="0" b="0"/>
                      <wp:wrapNone/>
                      <wp:docPr id="187" name="Frame18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88" name="Frame1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38785" cy="175260"/>
                      <wp:effectExtent l="0" t="0" r="0" b="0"/>
                      <wp:wrapNone/>
                      <wp:docPr id="190" name="Frame19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1"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38785" cy="175260"/>
                      <wp:effectExtent l="0" t="0" r="0" b="0"/>
                      <wp:wrapNone/>
                      <wp:docPr id="193" name="Frame19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97790" cy="175260"/>
                      <wp:effectExtent l="0" t="0" r="0" b="0"/>
                      <wp:wrapNone/>
                      <wp:docPr id="194" name="Frame19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576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109" w:type="dxa"/>
            <w:tcBorders/>
            <w:vAlign w:val="center"/>
          </w:tcPr>
          <w:p>
            <w:pPr>
              <w:pStyle w:val="TableContents"/>
              <w:bidi w:val="0"/>
              <w:spacing w:lineRule="auto" w:line="285" w:before="0" w:after="0"/>
              <w:ind w:left="0" w:right="0" w:hanging="0"/>
              <w:jc w:val="center"/>
            </w:pPr>
            <w:r>
              <w:t>​</w:t>
            </w:r>
          </w:p>
        </w:tc>
        <w:tc>
          <w:tcPr>
            <w:tcW w:w="1763"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lineRule="auto" w:line="285" w:before="0" w:after="0"/>
              <w:ind w:left="0" w:right="0" w:hanging="0"/>
              <w:jc w:val="center"/>
            </w:pPr>
            <w:r>
              <w:t>​</w:t>
            </w:r>
          </w:p>
        </w:tc>
        <w:tc>
          <w:tcPr>
            <w:tcW w:w="1913"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154" w:type="dxa"/>
            <w:tcBorders/>
            <w:vAlign w:val="center"/>
          </w:tcPr>
          <w:p>
            <w:pPr>
              <w:pStyle w:val="TableContents"/>
              <w:bidi w:val="0"/>
              <w:spacing w:lineRule="auto" w:line="285" w:before="0" w:after="0"/>
              <w:ind w:left="0" w:right="0" w:hanging="0"/>
              <w:jc w:val="center"/>
            </w:pPr>
            <w:r>
              <w:t>​</w:t>
            </w:r>
          </w:p>
        </w:tc>
      </w:tr>
      <w:tr>
        <w:tc>
          <w:tcPr>
            <w:tcW w:w="576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109" w:type="dxa"/>
            <w:tcBorders/>
            <w:vAlign w:val="center"/>
          </w:tcPr>
          <w:p>
            <w:pPr>
              <w:pStyle w:val="TableContents"/>
              <w:bidi w:val="0"/>
              <w:spacing w:lineRule="auto" w:line="285" w:before="0" w:after="0"/>
              <w:ind w:left="0" w:right="0" w:hanging="0"/>
              <w:jc w:val="center"/>
            </w:pPr>
            <w:r>
              <w:t>​</w:t>
            </w:r>
          </w:p>
        </w:tc>
        <w:tc>
          <w:tcPr>
            <w:tcW w:w="176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109" w:type="dxa"/>
            <w:tcBorders/>
            <w:vAlign w:val="center"/>
          </w:tcPr>
          <w:p>
            <w:pPr>
              <w:pStyle w:val="TableContents"/>
              <w:bidi w:val="0"/>
              <w:spacing w:lineRule="auto" w:line="285" w:before="0" w:after="0"/>
              <w:ind w:left="0" w:right="0" w:hanging="0"/>
              <w:jc w:val="center"/>
            </w:pPr>
            <w:r>
              <w:t>​</w:t>
            </w:r>
          </w:p>
        </w:tc>
        <w:tc>
          <w:tcPr>
            <w:tcW w:w="191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154" w:type="dxa"/>
            <w:tcBorders/>
            <w:vAlign w:val="center"/>
          </w:tcPr>
          <w:p>
            <w:pPr>
              <w:pStyle w:val="TableContents"/>
              <w:bidi w:val="0"/>
              <w:spacing w:lineRule="auto" w:line="285" w:before="0" w:after="0"/>
              <w:ind w:left="0" w:right="0" w:hanging="0"/>
              <w:jc w:val="center"/>
            </w:pPr>
            <w:r>
              <w:t>​</w:t>
            </w:r>
          </w:p>
        </w:tc>
      </w:tr>
      <w:tr>
        <w:tc>
          <w:tcPr>
            <w:tcW w:w="57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Statement of Operations Data</w:t>
            </w:r>
          </w:p>
        </w:tc>
        <w:tc>
          <w:tcPr>
            <w:tcW w:w="346" w:type="dxa"/>
            <w:tcBorders/>
            <w:vAlign w:val="center"/>
          </w:tcPr>
          <w:p>
            <w:pPr>
              <w:pStyle w:val="TableContents"/>
              <w:bidi w:val="0"/>
              <w:spacing w:lineRule="auto" w:line="285" w:before="0" w:after="0"/>
              <w:ind w:left="0" w:right="0" w:hanging="0"/>
              <w:jc w:val="left"/>
            </w:pPr>
            <w:r>
              <w:t>  ​ ​ ​</w:t>
            </w:r>
          </w:p>
        </w:tc>
        <w:tc>
          <w:tcPr>
            <w:tcW w:w="109" w:type="dxa"/>
            <w:tcBorders/>
            <w:vAlign w:val="center"/>
          </w:tcPr>
          <w:p>
            <w:pPr>
              <w:pStyle w:val="TableContents"/>
              <w:bidi w:val="0"/>
              <w:spacing w:lineRule="auto" w:line="285" w:before="0" w:after="0"/>
              <w:ind w:left="0" w:right="0" w:hanging="0"/>
              <w:jc w:val="center"/>
            </w:pPr>
            <w:r>
              <w:t>​</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lineRule="auto" w:line="285" w:before="0" w:after="0"/>
              <w:ind w:left="0" w:right="0" w:hanging="0"/>
              <w:jc w:val="left"/>
            </w:pPr>
            <w:r>
              <w:t>​</w:t>
            </w:r>
          </w:p>
        </w:tc>
        <w:tc>
          <w:tcPr>
            <w:tcW w:w="7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lineRule="auto" w:line="285" w:before="0" w:after="0"/>
              <w:ind w:left="0" w:right="0" w:hanging="0"/>
              <w:jc w:val="left"/>
            </w:pPr>
            <w:r>
              <w:t>​</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lineRule="auto" w:line="285" w:before="0" w:after="0"/>
              <w:ind w:left="0" w:right="0" w:hanging="0"/>
              <w:jc w:val="left"/>
            </w:pPr>
            <w:r>
              <w:t>​</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lineRule="auto" w:line="285" w:before="0" w:after="0"/>
              <w:ind w:left="0" w:right="0" w:hanging="0"/>
              <w:jc w:val="center"/>
            </w:pPr>
            <w:r>
              <w:t>​</w:t>
            </w:r>
          </w:p>
        </w:tc>
      </w:tr>
      <w:tr>
        <w:tc>
          <w:tcPr>
            <w:tcW w:w="10155" w:type="dxa"/>
            <w:gridSpan w:val="15"/>
            <w:tcBorders/>
            <w:vAlign w:val="center"/>
          </w:tcPr>
          <w:p>
            <w:pPr>
              <w:pStyle w:val="TableContents"/>
              <w:bidi w:val="0"/>
              <w:spacing w:before="0" w:after="283"/>
              <w:ind w:left="0" w:right="0" w:hanging="0"/>
              <w:jc w:val="left"/>
              <w:rPr>
                <w:sz w:val="4"/>
                <w:szCs w:val="4"/>
              </w:rPr>
            </w:pPr>
            <w:r>
              <w:rPr>
                <w:sz w:val="4"/>
                <w:szCs w:val="4"/>
              </w:rPr>
            </w:r>
          </w:p>
        </w:tc>
      </w:tr>
      <w:tr>
        <w:tc>
          <w:tcPr>
            <w:tcW w:w="576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 </w:t>
            </w:r>
          </w:p>
        </w:tc>
        <w:tc>
          <w:tcPr>
            <w:tcW w:w="109" w:type="dxa"/>
            <w:tcBorders/>
            <w:vAlign w:val="center"/>
          </w:tcPr>
          <w:p>
            <w:pPr>
              <w:pStyle w:val="TableContents"/>
              <w:bidi w:val="0"/>
              <w:spacing w:lineRule="auto" w:line="285" w:before="0" w:after="0"/>
              <w:ind w:left="0" w:right="0" w:hanging="0"/>
              <w:jc w:val="center"/>
            </w:pPr>
            <w:r>
              <w:t>​</w:t>
            </w:r>
          </w:p>
        </w:tc>
        <w:tc>
          <w:tcPr>
            <w:tcW w:w="3785" w:type="dxa"/>
            <w:gridSpan w:val="11"/>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lineRule="auto" w:line="285" w:before="0" w:after="0"/>
              <w:ind w:left="0" w:right="0" w:hanging="0"/>
              <w:jc w:val="left"/>
            </w:pPr>
            <w:r>
              <w:t>​</w:t>
            </w:r>
          </w:p>
        </w:tc>
      </w:tr>
      <w:tr>
        <w:tc>
          <w:tcPr>
            <w:tcW w:w="5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09" w:type="dxa"/>
            <w:tcBorders/>
            <w:shd w:fill="CCEEFF" w:val="clear"/>
            <w:vAlign w:val="center"/>
          </w:tcPr>
          <w:p>
            <w:pPr>
              <w:pStyle w:val="TableContents"/>
              <w:bidi w:val="0"/>
              <w:spacing w:lineRule="auto" w:line="285" w:before="0" w:after="0"/>
              <w:ind w:left="0" w:right="0" w:hanging="0"/>
              <w:jc w:val="righ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lineRule="auto" w:line="285" w:before="0" w:after="0"/>
              <w:ind w:left="0" w:right="0" w:hanging="0"/>
              <w:jc w:val="right"/>
            </w:pPr>
            <w:r>
              <w:t>—</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lineRule="auto" w:line="285" w:before="0" w:after="0"/>
              <w:ind w:left="0" w:right="0" w:hanging="0"/>
              <w:jc w:val="right"/>
            </w:pPr>
            <w:r>
              <w:t>—</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lineRule="auto" w:line="285" w:before="0" w:after="0"/>
              <w:ind w:left="0" w:right="0" w:hanging="0"/>
              <w:jc w:val="right"/>
            </w:pPr>
            <w:r>
              <w:t>—</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lineRule="auto" w:line="285" w:before="0" w:after="0"/>
              <w:ind w:left="0" w:right="0" w:hanging="0"/>
              <w:jc w:val="right"/>
            </w:pPr>
            <w:r>
              <w:t>—</w:t>
            </w:r>
          </w:p>
        </w:tc>
        <w:tc>
          <w:tcPr>
            <w:tcW w:w="154" w:type="dxa"/>
            <w:tcBorders/>
            <w:shd w:fill="CCEEFF" w:val="clear"/>
            <w:vAlign w:val="center"/>
          </w:tcPr>
          <w:p>
            <w:pPr>
              <w:pStyle w:val="TableContents"/>
              <w:bidi w:val="0"/>
              <w:spacing w:lineRule="auto" w:line="285" w:before="0" w:after="0"/>
              <w:ind w:left="0" w:right="0" w:hanging="0"/>
              <w:jc w:val="left"/>
            </w:pPr>
            <w:r>
              <w:t>​</w:t>
            </w:r>
          </w:p>
        </w:tc>
      </w:tr>
      <w:tr>
        <w:tc>
          <w:tcPr>
            <w:tcW w:w="5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lineRule="auto" w:line="285" w:before="0" w:after="0"/>
              <w:ind w:left="0" w:right="0" w:hanging="0"/>
              <w:jc w:val="left"/>
            </w:pPr>
            <w:r>
              <w:t>​</w:t>
            </w:r>
          </w:p>
        </w:tc>
        <w:tc>
          <w:tcPr>
            <w:tcW w:w="109" w:type="dxa"/>
            <w:tcBorders/>
            <w:vAlign w:val="center"/>
          </w:tcPr>
          <w:p>
            <w:pPr>
              <w:pStyle w:val="TableContents"/>
              <w:bidi w:val="0"/>
              <w:spacing w:lineRule="auto" w:line="285" w:before="0" w:after="0"/>
              <w:ind w:left="0" w:right="0" w:hanging="0"/>
              <w:jc w:val="right"/>
            </w:pPr>
            <w:r>
              <w:t>​</w:t>
            </w:r>
          </w:p>
        </w:tc>
        <w:tc>
          <w:tcPr>
            <w:tcW w:w="211" w:type="dxa"/>
            <w:tcBorders/>
            <w:vAlign w:val="center"/>
          </w:tcPr>
          <w:p>
            <w:pPr>
              <w:pStyle w:val="TableContents"/>
              <w:bidi w:val="0"/>
              <w:spacing w:lineRule="auto" w:line="285" w:before="0" w:after="0"/>
              <w:ind w:left="0" w:right="0" w:hanging="0"/>
              <w:jc w:val="left"/>
            </w:pPr>
            <w:r>
              <w:t> </w:t>
            </w:r>
          </w:p>
        </w:tc>
        <w:tc>
          <w:tcPr>
            <w:tcW w:w="691" w:type="dxa"/>
            <w:tcBorders/>
            <w:vAlign w:val="center"/>
          </w:tcPr>
          <w:p>
            <w:pPr>
              <w:pStyle w:val="TableContents"/>
              <w:bidi w:val="0"/>
              <w:spacing w:lineRule="auto" w:line="285" w:before="0" w:after="0"/>
              <w:ind w:left="0" w:right="0" w:hanging="0"/>
              <w:jc w:val="right"/>
            </w:pPr>
            <w:r>
              <w:t>—</w:t>
            </w:r>
          </w:p>
        </w:tc>
        <w:tc>
          <w:tcPr>
            <w:tcW w:w="109"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541" w:type="dxa"/>
            <w:tcBorders/>
            <w:vAlign w:val="center"/>
          </w:tcPr>
          <w:p>
            <w:pPr>
              <w:pStyle w:val="TableContents"/>
              <w:bidi w:val="0"/>
              <w:spacing w:lineRule="auto" w:line="285" w:before="0" w:after="0"/>
              <w:ind w:left="0" w:right="0" w:hanging="0"/>
              <w:jc w:val="right"/>
            </w:pPr>
            <w:r>
              <w:t>—</w:t>
            </w:r>
          </w:p>
        </w:tc>
        <w:tc>
          <w:tcPr>
            <w:tcW w:w="109"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691" w:type="dxa"/>
            <w:tcBorders/>
            <w:vAlign w:val="center"/>
          </w:tcPr>
          <w:p>
            <w:pPr>
              <w:pStyle w:val="TableContents"/>
              <w:bidi w:val="0"/>
              <w:spacing w:lineRule="auto" w:line="285" w:before="0" w:after="0"/>
              <w:ind w:left="0" w:right="0" w:hanging="0"/>
              <w:jc w:val="right"/>
            </w:pPr>
            <w:r>
              <w:t>—</w:t>
            </w:r>
          </w:p>
        </w:tc>
        <w:tc>
          <w:tcPr>
            <w:tcW w:w="109"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691" w:type="dxa"/>
            <w:tcBorders/>
            <w:vAlign w:val="center"/>
          </w:tcPr>
          <w:p>
            <w:pPr>
              <w:pStyle w:val="TableContents"/>
              <w:bidi w:val="0"/>
              <w:spacing w:lineRule="auto" w:line="285" w:before="0" w:after="0"/>
              <w:ind w:left="0" w:right="0" w:hanging="0"/>
              <w:jc w:val="right"/>
            </w:pPr>
            <w:r>
              <w:t>—</w:t>
            </w:r>
          </w:p>
        </w:tc>
        <w:tc>
          <w:tcPr>
            <w:tcW w:w="154" w:type="dxa"/>
            <w:tcBorders/>
            <w:vAlign w:val="center"/>
          </w:tcPr>
          <w:p>
            <w:pPr>
              <w:pStyle w:val="TableContents"/>
              <w:bidi w:val="0"/>
              <w:spacing w:lineRule="auto" w:line="285" w:before="0" w:after="0"/>
              <w:ind w:left="0" w:right="0" w:hanging="0"/>
              <w:jc w:val="left"/>
            </w:pPr>
            <w:r>
              <w:t>​</w:t>
            </w:r>
          </w:p>
        </w:tc>
      </w:tr>
      <w:tr>
        <w:tc>
          <w:tcPr>
            <w:tcW w:w="5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09" w:type="dxa"/>
            <w:tcBorders/>
            <w:shd w:fill="CCEEFF" w:val="clear"/>
            <w:vAlign w:val="center"/>
          </w:tcPr>
          <w:p>
            <w:pPr>
              <w:pStyle w:val="TableContents"/>
              <w:bidi w:val="0"/>
              <w:spacing w:lineRule="auto" w:line="285" w:before="0" w:after="0"/>
              <w:ind w:left="0" w:right="0" w:hanging="0"/>
              <w:jc w:val="righ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(1,046)</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5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(2,645)</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(1,568)</w:t>
            </w:r>
          </w:p>
        </w:tc>
        <w:tc>
          <w:tcPr>
            <w:tcW w:w="154" w:type="dxa"/>
            <w:tcBorders/>
            <w:shd w:fill="CCEEFF" w:val="clear"/>
            <w:vAlign w:val="center"/>
          </w:tcPr>
          <w:p>
            <w:pPr>
              <w:pStyle w:val="TableContents"/>
              <w:bidi w:val="0"/>
              <w:spacing w:lineRule="auto" w:line="285" w:before="0" w:after="0"/>
              <w:ind w:left="0" w:right="0" w:hanging="0"/>
              <w:jc w:val="left"/>
            </w:pPr>
            <w:r>
              <w:t>​</w:t>
            </w:r>
          </w:p>
        </w:tc>
      </w:tr>
      <w:tr>
        <w:tc>
          <w:tcPr>
            <w:tcW w:w="576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Share of loss from investments accounted for using the equity method</w:t>
            </w:r>
          </w:p>
        </w:tc>
        <w:tc>
          <w:tcPr>
            <w:tcW w:w="346" w:type="dxa"/>
            <w:tcBorders/>
            <w:vAlign w:val="center"/>
          </w:tcPr>
          <w:p>
            <w:pPr>
              <w:pStyle w:val="TableContents"/>
              <w:bidi w:val="0"/>
              <w:spacing w:lineRule="auto" w:line="285" w:before="0" w:after="0"/>
              <w:ind w:left="0" w:right="0" w:hanging="0"/>
              <w:jc w:val="left"/>
            </w:pPr>
            <w:r>
              <w:t>​</w:t>
            </w:r>
          </w:p>
        </w:tc>
        <w:tc>
          <w:tcPr>
            <w:tcW w:w="109" w:type="dxa"/>
            <w:tcBorders/>
            <w:vAlign w:val="center"/>
          </w:tcPr>
          <w:p>
            <w:pPr>
              <w:pStyle w:val="TableContents"/>
              <w:bidi w:val="0"/>
              <w:spacing w:lineRule="auto" w:line="285" w:before="0" w:after="0"/>
              <w:ind w:left="0" w:right="0" w:hanging="0"/>
              <w:jc w:val="right"/>
            </w:pPr>
            <w:r>
              <w:t>​</w:t>
            </w:r>
          </w:p>
        </w:tc>
        <w:tc>
          <w:tcPr>
            <w:tcW w:w="211" w:type="dxa"/>
            <w:tcBorders/>
            <w:vAlign w:val="center"/>
          </w:tcPr>
          <w:p>
            <w:pPr>
              <w:pStyle w:val="TableContents"/>
              <w:bidi w:val="0"/>
              <w:spacing w:lineRule="auto" w:line="285" w:before="0" w:after="0"/>
              <w:ind w:left="0" w:right="0" w:hanging="0"/>
              <w:jc w:val="left"/>
            </w:pPr>
            <w:r>
              <w:t> </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(891)</w:t>
            </w:r>
          </w:p>
        </w:tc>
        <w:tc>
          <w:tcPr>
            <w:tcW w:w="109"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5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109"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(2,199)</w:t>
            </w:r>
          </w:p>
        </w:tc>
        <w:tc>
          <w:tcPr>
            <w:tcW w:w="109"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(1,251)</w:t>
            </w:r>
          </w:p>
        </w:tc>
        <w:tc>
          <w:tcPr>
            <w:tcW w:w="154" w:type="dxa"/>
            <w:tcBorders/>
            <w:vAlign w:val="center"/>
          </w:tcPr>
          <w:p>
            <w:pPr>
              <w:pStyle w:val="TableContents"/>
              <w:bidi w:val="0"/>
              <w:spacing w:lineRule="auto" w:line="285" w:before="0" w:after="0"/>
              <w:ind w:left="0" w:right="0" w:hanging="0"/>
              <w:jc w:val="left"/>
            </w:pPr>
            <w:r>
              <w:t>​</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7. License and Collaboration Agreements</w:t>
      </w:r>
    </w:p>
    <w:p>
      <w:pPr>
        <w:pStyle w:val="TextBody"/>
        <w:bidi w:val="0"/>
        <w:spacing w:lineRule="auto" w:line="285" w:before="0" w:after="0"/>
        <w:ind w:left="0" w:right="0" w:hanging="0"/>
        <w:jc w:val="left"/>
      </w:pPr>
      <w:r>
        <w:t>​</w:t>
      </w:r>
    </w:p>
    <w:p>
      <w:pPr>
        <w:pStyle w:val="TextBody"/>
        <w:pBdr/>
        <w:bidi w:val="0"/>
        <w:spacing w:lineRule="auto" w:line="285" w:before="0" w:after="0"/>
        <w:ind w:left="0" w:right="0" w:hanging="360"/>
        <w:jc w:val="left"/>
        <w:rPr>
          <w:rFonts w:ascii="Times New Roman;Times;serif" w:hAnsi="Times New Roman;Times;serif"/>
          <w:b/>
          <w:i/>
          <w:sz w:val="20"/>
        </w:rPr>
      </w:pPr>
      <w:r>
        <w:rPr>
          <w:rFonts w:ascii="Times New Roman;Times;serif" w:hAnsi="Times New Roman;Times;serif"/>
          <w:b/>
          <w:i/>
          <w:sz w:val="20"/>
        </w:rPr>
        <w:t>Scripps Licensing Agreement</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December 2014, the Company entered into a license agreement with The Scripps Research Institute (“Scripps”), pursuant to which it was granted a non-exclusive, world-wide license for all fields of use under Scripps’ rights in certain know-how and technology related to a mouse hybridoma clone expressing an anti-human CD73 antibody, and to progeny, mutants or unmodified derivatives of such hybridoma and any antibodies expressed by such hybridoma, from which we developed CPI-006. Scripps also granted the Company the right to grant sublicenses in conjunction with other proprietary rights the Company holds, or to others collaborating with or performing services for the Company. Under this license agreement, Scripps has agreed not to grant any additional commercial licenses with respect to such materials, other than march-in rights granted to the U.S. government.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Upon execution of the agreement, the Company made a one time cash payment to Scripps of $10,000 in 2015 and is also obligated to pay a minimum annual fee to Scripps of $25,000. The one time cash payment was recorded as research and development expense as technological feasibility of the asset had not been established and there was no alternative future use. A minimum annual fee payment is due on each anniversary of the effective date of the agreement for the term of the agreement. The Company is also required to make performance based cash payments upon successful completion of clinical and sales milestones. The aggregate potential milestone payments are $2.5 million as of September 30, 2026. The Company is also required to pay royalties on net sales of licensed products (including CPI-006) sold by it, its affiliates and its sublicensees at a rate in the low single digits. In addition, should the Company sublicense the rights licensed under the agreement, it has agreed to pay a percentage of sublicense revenue received at specified rates that start at double digit percentages and decrease to single digit percentages based on the elapsed time from the effective date of the agreement and the time of entry into such sublicense. To date, no milestone payments have been made.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Company’s license agreement with Scripps will terminate upon expiration of its obligation to pay royalties to Scripps under the license agreement. The Company’s license agreement with Scripps is terminable by the consent of the parties, at will by the Company upon providing 90 days written notice to Scripps, or by Scripps for certain material breaches, or if the Company undergoes a bankruptcy event. In addition, Scripps may terminate the license on a product by product basis, or the entire agreement, if the Company fails to meet specified diligence obligations related to the development and commercialization of licensed products. Scripps may also terminate the agreement after the third anniversary of the effective date of the agreement if it reasonably believes, based on reports the Company provides to Scripps, that the Company has not used commercially reasonable efforts as required under the agreement, subject to a specified notice and cure period.</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Vernalis Licensing Agreement</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February 2015, the Company entered into a license agreement with Vernalis (R&amp;D) Limited (“Vernalis”), which was subsequently amended as of November 5, 2015, and, pursuant to which the Company was granted an exclusive, worldwide license under certain patent rights and know-how, including a limited right to grant sublicenses, for all fields of use to develop, manufacture and commercialize products containing certain adenosine receptor antagonists, including ciforadenant. Pursuant to this agreement, the Company made a one-time cash payment to Vernalis in the amount of $1.0 million, which was recorded as research and development expense as technological feasibility of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asset had not been established and there was no alternative future use. The Company is also required to make cash milestone payments to Vernalis upon the successful completion of clinical and regulatory milestones for licensed products depending on the indications for which such licensed products are developed and upon achievement of certain sales milestones. In February 2017, the Company made a milestone payment of $3.0 million to Vernalis following the expansion of a cohort of patients with renal cell cancer treated with single agent ciforadenant in the Company’s Phase 1/1b clinical trial. During the nine months ended September 30, 2026 and 2025, no clinical or regulatory milestones were completed or paid to Vernalis, and the aggregate potential milestone payments were approximately $220 million for all indications as of September 30, 2026. The Company has also agreed to pay Vernalis tiered incremental royalties based on the annual net sales of licensed products containing ciforadenant on a product by product and country by country basis, subject to certain offsets and reductions. The tiered royalty rates for products containing ciforadenant range from the mid single digits up to the low double digits on a country by country net sales basis. The royalties on other licensed products that do not include ciforadenant also increase with the amount of net sales on a product-by-product and country by country basis and range from the low single digits up to the mid single digits on a country by country net sales basis. The Company is also obligated to pay to Vernalis certain sales milestones as indicated above when worldwide net sales reach specified levels over an agreed upon time period.</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agreement will expire on a product-by-product and country-by-country basis upon the expiration of the Company’s payment obligations to Vernalis in respect of a particular product and country. Both parties have the right to terminate the agreement for an uncured material breach by the other party. The Company may also terminate the agreement at its convenience by providing 90 days written notice, provided that the Company has not received notice of its own default under the agreement at the time the Company exercises such termination right. Vernalis may also terminate the agreement if the Company challenges a licensed patent or undergoes a bankruptcy event.</w:t>
      </w:r>
    </w:p>
    <w:p>
      <w:pPr>
        <w:pStyle w:val="TextBody"/>
        <w:bidi w:val="0"/>
        <w:spacing w:lineRule="auto" w:line="285" w:before="0" w:after="0"/>
        <w:ind w:left="0" w:right="0" w:hanging="0"/>
        <w:jc w:val="left"/>
      </w:pPr>
      <w: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Monash License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April 2017, the Company entered into a license agreement with Monash University (“Monash”), pursuant to which the Company was granted an exclusive, sublicensable worldwide license under certain know-how, patent rights and other intellectual property rights controlled by Monash to research, develop, and commercialize certain antibodies directed to CXCR2 for the treatment of human diseases.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Upon execution of the agreement, the Company made a one time cash payment to Monash of $275,000 and reimbursed Monash for certain patent prosecution costs incurred prior to execution of the agreement. The Company recorded these payments as research and development expenses for the year ended December 31, 2017. The Company is also obligated to pay an annual license maintenance fee to Monash of $25,000 until a certain development milestone is met with respect to the licensed product, after which no further maintenance fee will be due. The Company is also required to make development and sales milestone payments to Monash with respect to the licensed products. During the nine months ended September 30, 2026 and 2025, no development or sales milestones were completed or paid to Monash, and the aggregate potential milestones were $45.1 million as of September 30, 2026. The Company is also required to pay to Monash tiered royalties on net sales of licensed products sold by it, its affiliates and its sublicensees at a rate ranging in the low single digits. In addition, should the Company sublicense its rights under the agreement, the Company has agreed to pay a percentage of sublicense revenue received at specified rates that are currently at low double digit percentages and decrease to single digit percentages based on the achievement of development milestones.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term of the Company’s agreement with Monash continues until the expiration of its obligation to pay royalties to Monash thereunder. The license agreement is terminable at will by the Company upon providing 30 days written notice to Monash, or by either party for material breaches by the other party. In addition, Monash may terminate the entire agreement or convert the license to a non-exclusive license if the Company has materially breached its obligation to use commercially reasonable efforts to develop and commercialize a licensed product, subject to a specified notice and cure mechanism.</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bookmarkStart w:id="1149" w:name="Tc_eTOt71HZA06G6tf3uUJnSQ_22_5"/>
      <w:bookmarkStart w:id="1150" w:name="Tc_gCc3uSXnZ0aZgOGu9NGbSw_22_2"/>
      <w:bookmarkStart w:id="1151" w:name="Tc_R0j2JB-UWEWJoCrsna4i6A_21_0"/>
      <w:bookmarkStart w:id="1152" w:name="Tc_qDpLgvHGFU2_-CMW5xExpA_20_0"/>
      <w:bookmarkStart w:id="1153" w:name="Tc_JGZHpeiqdEmxkR4vFaAimg_19_0"/>
      <w:bookmarkStart w:id="1154" w:name="Tc_EndSGGx7OkyaV8G5ztz0bw_18_0"/>
      <w:bookmarkStart w:id="1155" w:name="Tc_5fz59F_Dxk-_M3hUNlHzeg_17_5"/>
      <w:bookmarkStart w:id="1156" w:name="Tc_C1fPPnBLSEmwAZLRMMjTGw_17_2"/>
      <w:bookmarkStart w:id="1157" w:name="Tc_YrvgzK9tBUaZuwAHqPTC2A_17_0"/>
      <w:bookmarkStart w:id="1158" w:name="Tc_pxNJjmxxgk6zkaFBRBwngw_16_0"/>
      <w:bookmarkStart w:id="1159" w:name="Tc_MmHrHDCIqEWd0v1LWUBwpg_15_5"/>
      <w:bookmarkStart w:id="1160" w:name="Tc__VWGCNAkzE2ORyUCya1nXw_15_2"/>
      <w:bookmarkStart w:id="1161" w:name="Tc_QkYbNtZA7ESgUFfRrR_LsA_14_0"/>
      <w:bookmarkStart w:id="1162" w:name="Tc_QUVv2iLC-k-95WvxkNS2WA_12_0"/>
      <w:bookmarkStart w:id="1163" w:name="Tc_itL_vuvhCUC-zSuRRmB89Q_11_0"/>
      <w:bookmarkStart w:id="1164" w:name="Tc_TLCca8I1HECbWtMHjvh77w_10_5"/>
      <w:bookmarkStart w:id="1165" w:name="Tc_An1beldRPE-5mdJGtSuwBQ_10_2"/>
      <w:bookmarkStart w:id="1166" w:name="Tc_sPyerq7JJkuCE7D7E4H0ow_10_0"/>
      <w:bookmarkStart w:id="1167" w:name="Tc_zDLBYD8aNkKF4H5ojWuPfA_9_0"/>
      <w:bookmarkStart w:id="1168" w:name="Tc_AmucbWLP40-0g3E9tqAf0Q_8_5"/>
      <w:bookmarkStart w:id="1169" w:name="Tc_NjCKKDbaLUyzbwHsQO21GA_8_2"/>
      <w:bookmarkStart w:id="1170" w:name="Tc_AHfBuhZi-kKwCbGCYeZfPg_7_0"/>
      <w:bookmarkStart w:id="1171" w:name="Tc_TlkTjg-Ps0KGzcg6poCgsQ_6_0"/>
      <w:bookmarkStart w:id="1172" w:name="Tc_URn7DJ8xMk6ztNhJITgBmw_5_0"/>
      <w:bookmarkStart w:id="1173" w:name="Tc_klVK-o_TmEa_CjQYVIoKXA_4_5"/>
      <w:bookmarkStart w:id="1174" w:name="Tc_RkfLkUKytkWXTItyHWo4pw_4_2"/>
      <w:bookmarkStart w:id="1175" w:name="Tc_BXMthYRWt0u_43CrRmJX7w_4_0"/>
      <w:bookmarkStart w:id="1176" w:name="Tc_W8aSkV_zNUC_qABTQpAavw_3_0"/>
      <w:bookmarkStart w:id="1177" w:name="Tc_-fA2TNdZl0qcS-G6EzOYJA_2_5"/>
      <w:bookmarkStart w:id="1178" w:name="Tc_pJ4VkIo1O0iFqBCKqrQsRg_2_2"/>
      <w:bookmarkStart w:id="1179" w:name="Tc_ZJww2xdRtUKDAdvjGnXW-w_1_5"/>
      <w:bookmarkStart w:id="1180" w:name="Tc_AM2ql3pW_k-vKipdL8l3lQ_1_2"/>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r>
        <w:rPr>
          <w:rFonts w:ascii="Times New Roman;Times;serif" w:hAnsi="Times New Roman;Times;serif"/>
          <w:b/>
          <w:sz w:val="20"/>
        </w:rPr>
        <w:t xml:space="preserve">8. Balance Sheet Components (in thousands) </w:t>
      </w:r>
    </w:p>
    <w:p>
      <w:pPr>
        <w:pStyle w:val="TextBody"/>
        <w:bidi w:val="0"/>
        <w:spacing w:lineRule="auto" w:line="285" w:before="0" w:after="0"/>
        <w:ind w:left="0" w:right="0" w:hanging="0"/>
        <w:jc w:val="left"/>
      </w:pPr>
      <w:r>
        <w:t>​</w:t>
      </w:r>
    </w:p>
    <w:tbl>
      <w:tblPr>
        <w:tblW w:w="8314" w:type="dxa"/>
        <w:jc w:val="left"/>
        <w:tblInd w:w="0" w:type="dxa"/>
        <w:tblLayout w:type="fixed"/>
        <w:tblCellMar>
          <w:top w:w="0" w:type="dxa"/>
          <w:left w:w="0" w:type="dxa"/>
          <w:bottom w:w="0" w:type="dxa"/>
          <w:right w:w="0" w:type="dxa"/>
        </w:tblCellMar>
      </w:tblPr>
      <w:tblGrid>
        <w:gridCol w:w="4906"/>
        <w:gridCol w:w="346"/>
        <w:gridCol w:w="296"/>
        <w:gridCol w:w="889"/>
        <w:gridCol w:w="346"/>
        <w:gridCol w:w="285"/>
        <w:gridCol w:w="855"/>
        <w:gridCol w:w="391"/>
      </w:tblGrid>
      <w:tr>
        <w:tc>
          <w:tcPr>
            <w:tcW w:w="4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115310" cy="175260"/>
                      <wp:effectExtent l="0" t="0" r="0" b="0"/>
                      <wp:wrapNone/>
                      <wp:docPr id="195" name="Frame195"/>
                      <a:graphic xmlns:a="http://schemas.openxmlformats.org/drawingml/2006/main">
                        <a:graphicData uri="http://schemas.microsoft.com/office/word/2010/wordprocessingShape">
                          <wps:wsp>
                            <wps:cNvSpPr txBox="1"/>
                            <wps:spPr>
                              <a:xfrm>
                                <a:off x="0" y="0"/>
                                <a:ext cx="31153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87960" cy="175260"/>
                      <wp:effectExtent l="0" t="0" r="0" b="0"/>
                      <wp:wrapNone/>
                      <wp:docPr id="197" name="Frame197"/>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64515" cy="175260"/>
                      <wp:effectExtent l="0" t="0" r="0" b="0"/>
                      <wp:wrapNone/>
                      <wp:docPr id="198" name="Frame198"/>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80975" cy="175260"/>
                      <wp:effectExtent l="0" t="0" r="0" b="0"/>
                      <wp:wrapNone/>
                      <wp:docPr id="200" name="Frame200"/>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42925" cy="175260"/>
                      <wp:effectExtent l="0" t="0" r="0" b="0"/>
                      <wp:wrapNone/>
                      <wp:docPr id="201" name="Frame201"/>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48285" cy="175260"/>
                      <wp:effectExtent l="0" t="0" r="0" b="0"/>
                      <wp:wrapNone/>
                      <wp:docPr id="202" name="Frame20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4906"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lineRule="auto" w:line="285" w:before="0" w:after="0"/>
              <w:ind w:left="0" w:right="0" w:hanging="0"/>
              <w:jc w:val="left"/>
            </w:pPr>
            <w: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1" w:type="dxa"/>
            <w:tcBorders/>
            <w:vAlign w:val="center"/>
          </w:tcPr>
          <w:p>
            <w:pPr>
              <w:pStyle w:val="TableContents"/>
              <w:bidi w:val="0"/>
              <w:spacing w:lineRule="auto" w:line="285" w:before="0" w:after="0"/>
              <w:ind w:left="0" w:right="0" w:hanging="0"/>
              <w:jc w:val="left"/>
            </w:pPr>
            <w:r>
              <w:t>​</w:t>
            </w:r>
          </w:p>
        </w:tc>
      </w:tr>
      <w:tr>
        <w:tc>
          <w:tcPr>
            <w:tcW w:w="4906"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  ​ ​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pPr>
            <w:r>
              <w:t>  ​ ​ ​</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pPr>
            <w:r>
              <w:t>  ​ ​ ​</w:t>
            </w:r>
          </w:p>
        </w:tc>
      </w:tr>
      <w:t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Prepaid and Other Current Assets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96" w:type="dxa"/>
            <w:tcBorders/>
            <w:shd w:fill="CCEEFF" w:val="clear"/>
            <w:vAlign w:val="center"/>
          </w:tcPr>
          <w:p>
            <w:pPr>
              <w:pStyle w:val="TableContents"/>
              <w:bidi w:val="0"/>
              <w:spacing w:lineRule="auto" w:line="285" w:before="0" w:after="0"/>
              <w:ind w:left="0" w:right="0" w:hanging="0"/>
              <w:jc w:val="center"/>
            </w:pPr>
            <w:r>
              <w:t>​</w:t>
            </w:r>
          </w:p>
        </w:tc>
        <w:tc>
          <w:tcPr>
            <w:tcW w:w="889" w:type="dxa"/>
            <w:tcBorders/>
            <w:shd w:fill="CCEEFF" w:val="clear"/>
            <w:vAlign w:val="center"/>
          </w:tcPr>
          <w:p>
            <w:pPr>
              <w:pStyle w:val="TableContents"/>
              <w:bidi w:val="0"/>
              <w:spacing w:lineRule="auto" w:line="285" w:before="0" w:after="0"/>
              <w:ind w:left="0" w:right="0" w:hanging="0"/>
              <w:jc w:val="center"/>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85" w:type="dxa"/>
            <w:tcBorders/>
            <w:shd w:fill="CCEEFF" w:val="clear"/>
            <w:vAlign w:val="center"/>
          </w:tcPr>
          <w:p>
            <w:pPr>
              <w:pStyle w:val="TableContents"/>
              <w:bidi w:val="0"/>
              <w:spacing w:lineRule="auto" w:line="285" w:before="0" w:after="0"/>
              <w:ind w:left="0" w:right="0" w:hanging="0"/>
              <w:jc w:val="center"/>
            </w:pPr>
            <w:r>
              <w:t>​</w:t>
            </w:r>
          </w:p>
        </w:tc>
        <w:tc>
          <w:tcPr>
            <w:tcW w:w="855" w:type="dxa"/>
            <w:tcBorders/>
            <w:shd w:fill="CCEEFF" w:val="clear"/>
            <w:vAlign w:val="center"/>
          </w:tcPr>
          <w:p>
            <w:pPr>
              <w:pStyle w:val="TableContents"/>
              <w:bidi w:val="0"/>
              <w:spacing w:lineRule="auto" w:line="285" w:before="0" w:after="0"/>
              <w:ind w:left="0" w:right="0" w:hanging="0"/>
              <w:jc w:val="center"/>
            </w:pPr>
            <w:r>
              <w:t>​</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receivable</w:t>
            </w:r>
          </w:p>
        </w:tc>
        <w:tc>
          <w:tcPr>
            <w:tcW w:w="346" w:type="dxa"/>
            <w:tcBorders/>
            <w:vAlign w:val="center"/>
          </w:tcPr>
          <w:p>
            <w:pPr>
              <w:pStyle w:val="TableContents"/>
              <w:bidi w:val="0"/>
              <w:spacing w:lineRule="auto" w:line="285" w:before="0" w:after="0"/>
              <w:ind w:left="0" w:right="0" w:hanging="0"/>
              <w:jc w:val="left"/>
            </w:pPr>
            <w:r>
              <w:t>​</w:t>
            </w:r>
          </w:p>
        </w:tc>
        <w:tc>
          <w:tcPr>
            <w:tcW w:w="2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1,281</w:t>
            </w:r>
          </w:p>
        </w:tc>
        <w:tc>
          <w:tcPr>
            <w:tcW w:w="346" w:type="dxa"/>
            <w:tcBorders/>
            <w:vAlign w:val="center"/>
          </w:tcPr>
          <w:p>
            <w:pPr>
              <w:pStyle w:val="TableContents"/>
              <w:bidi w:val="0"/>
              <w:spacing w:lineRule="auto" w:line="285" w:before="0" w:after="0"/>
              <w:ind w:left="0" w:right="0" w:hanging="0"/>
              <w:jc w:val="left"/>
            </w:pPr>
            <w:r>
              <w:t>​</w:t>
            </w:r>
          </w:p>
        </w:tc>
        <w:tc>
          <w:tcPr>
            <w:tcW w:w="28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91" w:type="dxa"/>
            <w:tcBorders/>
            <w:vAlign w:val="center"/>
          </w:tcPr>
          <w:p>
            <w:pPr>
              <w:pStyle w:val="TableContents"/>
              <w:bidi w:val="0"/>
              <w:spacing w:lineRule="auto" w:line="285" w:before="0" w:after="0"/>
              <w:ind w:left="0" w:right="0" w:hanging="0"/>
              <w:jc w:val="left"/>
            </w:pPr>
            <w:r>
              <w:t>​</w:t>
            </w:r>
          </w:p>
        </w:tc>
      </w:tr>
      <w:t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research and development manufacturing expenses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96" w:type="dxa"/>
            <w:tcBorders/>
            <w:shd w:fill="CCEEFF" w:val="clear"/>
            <w:vAlign w:val="center"/>
          </w:tcPr>
          <w:p>
            <w:pPr>
              <w:pStyle w:val="TableContents"/>
              <w:bidi w:val="0"/>
              <w:spacing w:lineRule="auto" w:line="285" w:before="0" w:after="0"/>
              <w:ind w:left="0" w:right="0" w:hanging="0"/>
              <w:jc w:val="left"/>
            </w:pPr>
            <w:r>
              <w:t>​</w:t>
            </w:r>
          </w:p>
        </w:tc>
        <w:tc>
          <w:tcPr>
            <w:tcW w:w="8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1,470</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85" w:type="dxa"/>
            <w:tcBorders/>
            <w:shd w:fill="CCEEFF" w:val="clear"/>
            <w:vAlign w:val="center"/>
          </w:tcPr>
          <w:p>
            <w:pPr>
              <w:pStyle w:val="TableContents"/>
              <w:bidi w:val="0"/>
              <w:spacing w:lineRule="auto" w:line="285" w:before="0" w:after="0"/>
              <w:ind w:left="0" w:right="0" w:hanging="0"/>
              <w:jc w:val="left"/>
            </w:pPr>
            <w:r>
              <w:t>​</w:t>
            </w:r>
          </w:p>
        </w:tc>
        <w:tc>
          <w:tcPr>
            <w:tcW w:w="8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46" w:type="dxa"/>
            <w:tcBorders/>
            <w:vAlign w:val="center"/>
          </w:tcPr>
          <w:p>
            <w:pPr>
              <w:pStyle w:val="TableContents"/>
              <w:bidi w:val="0"/>
              <w:spacing w:lineRule="auto" w:line="285" w:before="0" w:after="0"/>
              <w:ind w:left="0" w:right="0" w:hanging="0"/>
              <w:jc w:val="left"/>
            </w:pPr>
            <w:r>
              <w:t>​</w:t>
            </w:r>
          </w:p>
        </w:tc>
        <w:tc>
          <w:tcPr>
            <w:tcW w:w="296" w:type="dxa"/>
            <w:tcBorders/>
            <w:vAlign w:val="center"/>
          </w:tcPr>
          <w:p>
            <w:pPr>
              <w:pStyle w:val="TableContents"/>
              <w:bidi w:val="0"/>
              <w:spacing w:lineRule="auto" w:line="285" w:before="0" w:after="0"/>
              <w:ind w:left="0" w:right="0" w:hanging="0"/>
              <w:jc w:val="left"/>
            </w:pPr>
            <w:r>
              <w:t>​</w:t>
            </w:r>
          </w:p>
        </w:tc>
        <w:tc>
          <w:tcPr>
            <w:tcW w:w="8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46" w:type="dxa"/>
            <w:tcBorders/>
            <w:vAlign w:val="center"/>
          </w:tcPr>
          <w:p>
            <w:pPr>
              <w:pStyle w:val="TableContents"/>
              <w:bidi w:val="0"/>
              <w:spacing w:lineRule="auto" w:line="285" w:before="0" w:after="0"/>
              <w:ind w:left="0" w:right="0" w:hanging="0"/>
              <w:jc w:val="left"/>
            </w:pPr>
            <w:r>
              <w:t>​</w:t>
            </w:r>
          </w:p>
        </w:tc>
        <w:tc>
          <w:tcPr>
            <w:tcW w:w="285" w:type="dxa"/>
            <w:tcBorders/>
            <w:vAlign w:val="center"/>
          </w:tcPr>
          <w:p>
            <w:pPr>
              <w:pStyle w:val="TableContents"/>
              <w:bidi w:val="0"/>
              <w:spacing w:lineRule="auto" w:line="285" w:before="0" w:after="0"/>
              <w:ind w:left="0" w:right="0" w:hanging="0"/>
              <w:jc w:val="left"/>
            </w:pPr>
            <w:r>
              <w:t>​</w:t>
            </w:r>
          </w:p>
        </w:tc>
        <w:tc>
          <w:tcPr>
            <w:tcW w:w="85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91" w:type="dxa"/>
            <w:tcBorders/>
            <w:vAlign w:val="center"/>
          </w:tcPr>
          <w:p>
            <w:pPr>
              <w:pStyle w:val="TableContents"/>
              <w:bidi w:val="0"/>
              <w:spacing w:lineRule="auto" w:line="285" w:before="0" w:after="0"/>
              <w:ind w:left="0" w:right="0" w:hanging="0"/>
              <w:jc w:val="left"/>
            </w:pPr>
            <w:r>
              <w:t>​</w:t>
            </w:r>
          </w:p>
        </w:tc>
      </w:tr>
      <w:t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8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8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8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4906"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2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3,394</w:t>
            </w:r>
          </w:p>
        </w:tc>
        <w:tc>
          <w:tcPr>
            <w:tcW w:w="346" w:type="dxa"/>
            <w:tcBorders/>
            <w:vAlign w:val="center"/>
          </w:tcPr>
          <w:p>
            <w:pPr>
              <w:pStyle w:val="TableContents"/>
              <w:bidi w:val="0"/>
              <w:spacing w:lineRule="auto" w:line="285" w:before="0" w:after="0"/>
              <w:ind w:left="0" w:right="0" w:hanging="0"/>
              <w:jc w:val="left"/>
            </w:pPr>
            <w:r>
              <w:t>​</w:t>
            </w:r>
          </w:p>
        </w:tc>
        <w:tc>
          <w:tcPr>
            <w:tcW w:w="28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1,427</w:t>
            </w:r>
          </w:p>
        </w:tc>
        <w:tc>
          <w:tcPr>
            <w:tcW w:w="391" w:type="dxa"/>
            <w:tcBorders/>
            <w:vAlign w:val="center"/>
          </w:tcPr>
          <w:p>
            <w:pPr>
              <w:pStyle w:val="TableContents"/>
              <w:bidi w:val="0"/>
              <w:spacing w:lineRule="auto" w:line="285" w:before="0" w:after="0"/>
              <w:ind w:left="0" w:right="0" w:hanging="0"/>
              <w:jc w:val="left"/>
            </w:pPr>
            <w:r>
              <w:t>​</w:t>
            </w:r>
          </w:p>
        </w:tc>
      </w:tr>
      <w:t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Property and Equipment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96" w:type="dxa"/>
            <w:tcBorders/>
            <w:shd w:fill="CCEEFF" w:val="clear"/>
            <w:vAlign w:val="center"/>
          </w:tcPr>
          <w:p>
            <w:pPr>
              <w:pStyle w:val="TableContents"/>
              <w:bidi w:val="0"/>
              <w:spacing w:lineRule="auto" w:line="285" w:before="0" w:after="0"/>
              <w:ind w:left="0" w:right="0" w:hanging="0"/>
              <w:jc w:val="left"/>
            </w:pPr>
            <w:r>
              <w:t>​</w:t>
            </w:r>
          </w:p>
        </w:tc>
        <w:tc>
          <w:tcPr>
            <w:tcW w:w="889" w:type="dxa"/>
            <w:tcBorders/>
            <w:shd w:fill="CCEEFF" w:val="clear"/>
            <w:vAlign w:val="center"/>
          </w:tcPr>
          <w:p>
            <w:pPr>
              <w:pStyle w:val="TableContents"/>
              <w:bidi w:val="0"/>
              <w:spacing w:lineRule="auto" w:line="285" w:before="0" w:after="0"/>
              <w:ind w:left="0" w:right="0" w:hanging="0"/>
              <w:jc w:val="center"/>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85" w:type="dxa"/>
            <w:tcBorders/>
            <w:shd w:fill="CCEEFF" w:val="clear"/>
            <w:vAlign w:val="center"/>
          </w:tcPr>
          <w:p>
            <w:pPr>
              <w:pStyle w:val="TableContents"/>
              <w:bidi w:val="0"/>
              <w:spacing w:lineRule="auto" w:line="285" w:before="0" w:after="0"/>
              <w:ind w:left="0" w:right="0" w:hanging="0"/>
              <w:jc w:val="left"/>
            </w:pPr>
            <w:r>
              <w:t>​</w:t>
            </w:r>
          </w:p>
        </w:tc>
        <w:tc>
          <w:tcPr>
            <w:tcW w:w="855" w:type="dxa"/>
            <w:tcBorders/>
            <w:shd w:fill="CCEEFF" w:val="clear"/>
            <w:vAlign w:val="center"/>
          </w:tcPr>
          <w:p>
            <w:pPr>
              <w:pStyle w:val="TableContents"/>
              <w:bidi w:val="0"/>
              <w:spacing w:lineRule="auto" w:line="285" w:before="0" w:after="0"/>
              <w:ind w:left="0" w:right="0" w:hanging="0"/>
              <w:jc w:val="center"/>
            </w:pPr>
            <w:r>
              <w:t>​</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Laboratory equipment</w:t>
            </w:r>
          </w:p>
        </w:tc>
        <w:tc>
          <w:tcPr>
            <w:tcW w:w="346" w:type="dxa"/>
            <w:tcBorders/>
            <w:vAlign w:val="center"/>
          </w:tcPr>
          <w:p>
            <w:pPr>
              <w:pStyle w:val="TableContents"/>
              <w:bidi w:val="0"/>
              <w:spacing w:lineRule="auto" w:line="285" w:before="0" w:after="0"/>
              <w:ind w:left="0" w:right="0" w:hanging="0"/>
              <w:jc w:val="left"/>
            </w:pPr>
            <w:r>
              <w:t>​</w:t>
            </w:r>
          </w:p>
        </w:tc>
        <w:tc>
          <w:tcPr>
            <w:tcW w:w="2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3,018</w:t>
            </w:r>
          </w:p>
        </w:tc>
        <w:tc>
          <w:tcPr>
            <w:tcW w:w="346" w:type="dxa"/>
            <w:tcBorders/>
            <w:vAlign w:val="center"/>
          </w:tcPr>
          <w:p>
            <w:pPr>
              <w:pStyle w:val="TableContents"/>
              <w:bidi w:val="0"/>
              <w:spacing w:lineRule="auto" w:line="285" w:before="0" w:after="0"/>
              <w:ind w:left="0" w:right="0" w:hanging="0"/>
              <w:jc w:val="left"/>
            </w:pPr>
            <w:r>
              <w:t>​</w:t>
            </w:r>
          </w:p>
        </w:tc>
        <w:tc>
          <w:tcPr>
            <w:tcW w:w="28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2,646</w:t>
            </w:r>
          </w:p>
        </w:tc>
        <w:tc>
          <w:tcPr>
            <w:tcW w:w="391" w:type="dxa"/>
            <w:tcBorders/>
            <w:vAlign w:val="center"/>
          </w:tcPr>
          <w:p>
            <w:pPr>
              <w:pStyle w:val="TableContents"/>
              <w:bidi w:val="0"/>
              <w:spacing w:lineRule="auto" w:line="285" w:before="0" w:after="0"/>
              <w:ind w:left="0" w:right="0" w:hanging="0"/>
              <w:jc w:val="left"/>
            </w:pPr>
            <w:r>
              <w:t>​</w:t>
            </w:r>
          </w:p>
        </w:tc>
      </w:tr>
      <w:t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Computer equipment and purchased software</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96" w:type="dxa"/>
            <w:tcBorders/>
            <w:shd w:fill="CCEEFF" w:val="clear"/>
            <w:vAlign w:val="center"/>
          </w:tcPr>
          <w:p>
            <w:pPr>
              <w:pStyle w:val="TableContents"/>
              <w:bidi w:val="0"/>
              <w:spacing w:lineRule="auto" w:line="285" w:before="0" w:after="0"/>
              <w:ind w:left="0" w:right="0" w:hanging="0"/>
              <w:jc w:val="left"/>
            </w:pPr>
            <w:r>
              <w:t> </w:t>
            </w:r>
          </w:p>
        </w:tc>
        <w:tc>
          <w:tcPr>
            <w:tcW w:w="8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85" w:type="dxa"/>
            <w:tcBorders/>
            <w:shd w:fill="CCEEFF" w:val="clear"/>
            <w:vAlign w:val="center"/>
          </w:tcPr>
          <w:p>
            <w:pPr>
              <w:pStyle w:val="TableContents"/>
              <w:bidi w:val="0"/>
              <w:spacing w:lineRule="auto" w:line="285" w:before="0" w:after="0"/>
              <w:ind w:left="0" w:right="0" w:hanging="0"/>
              <w:jc w:val="left"/>
            </w:pPr>
            <w:r>
              <w:t> </w:t>
            </w:r>
          </w:p>
        </w:tc>
        <w:tc>
          <w:tcPr>
            <w:tcW w:w="8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vAlign w:val="center"/>
          </w:tcPr>
          <w:p>
            <w:pPr>
              <w:pStyle w:val="TableContents"/>
              <w:bidi w:val="0"/>
              <w:spacing w:lineRule="auto" w:line="285" w:before="0" w:after="0"/>
              <w:ind w:left="0" w:right="0" w:hanging="0"/>
              <w:jc w:val="left"/>
            </w:pPr>
            <w:r>
              <w:t>​</w:t>
            </w:r>
          </w:p>
        </w:tc>
        <w:tc>
          <w:tcPr>
            <w:tcW w:w="296"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8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346" w:type="dxa"/>
            <w:tcBorders/>
            <w:vAlign w:val="center"/>
          </w:tcPr>
          <w:p>
            <w:pPr>
              <w:pStyle w:val="TableContents"/>
              <w:bidi w:val="0"/>
              <w:spacing w:lineRule="auto" w:line="285" w:before="0" w:after="0"/>
              <w:ind w:left="0" w:right="0" w:hanging="0"/>
              <w:jc w:val="left"/>
            </w:pPr>
            <w:r>
              <w:t>​</w:t>
            </w:r>
          </w:p>
        </w:tc>
        <w:tc>
          <w:tcPr>
            <w:tcW w:w="285"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85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91" w:type="dxa"/>
            <w:tcBorders/>
            <w:vAlign w:val="center"/>
          </w:tcPr>
          <w:p>
            <w:pPr>
              <w:pStyle w:val="TableContents"/>
              <w:bidi w:val="0"/>
              <w:spacing w:lineRule="auto" w:line="285" w:before="0" w:after="0"/>
              <w:ind w:left="0" w:right="0" w:hanging="0"/>
              <w:jc w:val="left"/>
            </w:pPr>
            <w:r>
              <w:t>​</w:t>
            </w:r>
          </w:p>
        </w:tc>
      </w:tr>
      <w:tr>
        <w:tc>
          <w:tcPr>
            <w:tcW w:w="4906" w:type="dxa"/>
            <w:tcBorders/>
            <w:shd w:fill="CCEEFF" w:val="clear"/>
            <w:vAlign w:val="center"/>
          </w:tcPr>
          <w:p>
            <w:pPr>
              <w:pStyle w:val="TableContents"/>
              <w:bidi w:val="0"/>
              <w:spacing w:lineRule="auto" w:line="285" w:before="0" w:after="0"/>
              <w:ind w:left="0" w:right="0" w:hanging="0"/>
              <w:jc w:val="lef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96" w:type="dxa"/>
            <w:tcBorders/>
            <w:shd w:fill="CCEEFF" w:val="clear"/>
            <w:vAlign w:val="center"/>
          </w:tcPr>
          <w:p>
            <w:pPr>
              <w:pStyle w:val="TableContents"/>
              <w:bidi w:val="0"/>
              <w:spacing w:lineRule="auto" w:line="285" w:before="0" w:after="0"/>
              <w:ind w:left="0" w:right="0" w:hanging="0"/>
              <w:jc w:val="left"/>
            </w:pPr>
            <w:r>
              <w:t> </w:t>
            </w:r>
          </w:p>
        </w:tc>
        <w:tc>
          <w:tcPr>
            <w:tcW w:w="8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3,608</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85" w:type="dxa"/>
            <w:tcBorders/>
            <w:shd w:fill="CCEEFF" w:val="clear"/>
            <w:vAlign w:val="center"/>
          </w:tcPr>
          <w:p>
            <w:pPr>
              <w:pStyle w:val="TableContents"/>
              <w:bidi w:val="0"/>
              <w:spacing w:lineRule="auto" w:line="285" w:before="0" w:after="0"/>
              <w:ind w:left="0" w:right="0" w:hanging="0"/>
              <w:jc w:val="left"/>
            </w:pPr>
            <w:r>
              <w:t> </w:t>
            </w:r>
          </w:p>
        </w:tc>
        <w:tc>
          <w:tcPr>
            <w:tcW w:w="8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2,869</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vAlign w:val="center"/>
          </w:tcPr>
          <w:p>
            <w:pPr>
              <w:pStyle w:val="TableContents"/>
              <w:bidi w:val="0"/>
              <w:spacing w:lineRule="auto" w:line="285" w:before="0" w:after="0"/>
              <w:ind w:left="0" w:right="0" w:hanging="0"/>
              <w:jc w:val="left"/>
            </w:pPr>
            <w:r>
              <w:t>​</w:t>
            </w:r>
          </w:p>
        </w:tc>
        <w:tc>
          <w:tcPr>
            <w:tcW w:w="296"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8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(2,807)</w:t>
            </w:r>
          </w:p>
        </w:tc>
        <w:tc>
          <w:tcPr>
            <w:tcW w:w="346" w:type="dxa"/>
            <w:tcBorders/>
            <w:vAlign w:val="center"/>
          </w:tcPr>
          <w:p>
            <w:pPr>
              <w:pStyle w:val="TableContents"/>
              <w:bidi w:val="0"/>
              <w:spacing w:lineRule="auto" w:line="285" w:before="0" w:after="0"/>
              <w:ind w:left="0" w:right="0" w:hanging="0"/>
              <w:jc w:val="left"/>
            </w:pPr>
            <w:r>
              <w:t>​</w:t>
            </w:r>
          </w:p>
        </w:tc>
        <w:tc>
          <w:tcPr>
            <w:tcW w:w="285"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85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(2,649)</w:t>
            </w:r>
          </w:p>
        </w:tc>
        <w:tc>
          <w:tcPr>
            <w:tcW w:w="391" w:type="dxa"/>
            <w:tcBorders/>
            <w:vAlign w:val="center"/>
          </w:tcPr>
          <w:p>
            <w:pPr>
              <w:pStyle w:val="TableContents"/>
              <w:bidi w:val="0"/>
              <w:spacing w:lineRule="auto" w:line="285" w:before="0" w:after="0"/>
              <w:ind w:left="0" w:right="0" w:hanging="0"/>
              <w:jc w:val="left"/>
            </w:pPr>
            <w:r>
              <w:t>​</w:t>
            </w:r>
          </w:p>
        </w:tc>
      </w:tr>
      <w:tr>
        <w:tc>
          <w:tcPr>
            <w:tcW w:w="4906" w:type="dxa"/>
            <w:tcBorders/>
            <w:shd w:fill="CCEEFF" w:val="clear"/>
            <w:vAlign w:val="center"/>
          </w:tcPr>
          <w:p>
            <w:pPr>
              <w:pStyle w:val="TableContents"/>
              <w:bidi w:val="0"/>
              <w:spacing w:lineRule="auto" w:line="285" w:before="0" w:after="0"/>
              <w:ind w:left="0" w:right="0" w:hanging="0"/>
              <w:jc w:val="lef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801</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8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Accrued and Other Liabilities</w:t>
            </w:r>
          </w:p>
        </w:tc>
        <w:tc>
          <w:tcPr>
            <w:tcW w:w="346" w:type="dxa"/>
            <w:tcBorders/>
            <w:vAlign w:val="center"/>
          </w:tcPr>
          <w:p>
            <w:pPr>
              <w:pStyle w:val="TableContents"/>
              <w:bidi w:val="0"/>
              <w:spacing w:lineRule="auto" w:line="285" w:before="0" w:after="0"/>
              <w:ind w:left="0" w:right="0" w:hanging="0"/>
              <w:jc w:val="left"/>
            </w:pPr>
            <w:r>
              <w:t>​</w:t>
            </w:r>
          </w:p>
        </w:tc>
        <w:tc>
          <w:tcPr>
            <w:tcW w:w="296" w:type="dxa"/>
            <w:tcBorders/>
            <w:vAlign w:val="center"/>
          </w:tcPr>
          <w:p>
            <w:pPr>
              <w:pStyle w:val="TableContents"/>
              <w:bidi w:val="0"/>
              <w:spacing w:lineRule="auto" w:line="285" w:before="0" w:after="0"/>
              <w:ind w:left="0" w:right="0" w:hanging="0"/>
              <w:jc w:val="left"/>
            </w:pPr>
            <w:r>
              <w:t>​</w:t>
            </w:r>
          </w:p>
        </w:tc>
        <w:tc>
          <w:tcPr>
            <w:tcW w:w="889"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285" w:type="dxa"/>
            <w:tcBorders/>
            <w:vAlign w:val="center"/>
          </w:tcPr>
          <w:p>
            <w:pPr>
              <w:pStyle w:val="TableContents"/>
              <w:bidi w:val="0"/>
              <w:spacing w:lineRule="auto" w:line="285" w:before="0" w:after="0"/>
              <w:ind w:left="0" w:right="0" w:hanging="0"/>
              <w:jc w:val="left"/>
            </w:pPr>
            <w:r>
              <w:t>​</w:t>
            </w:r>
          </w:p>
        </w:tc>
        <w:tc>
          <w:tcPr>
            <w:tcW w:w="855" w:type="dxa"/>
            <w:tcBorders/>
            <w:vAlign w:val="center"/>
          </w:tcPr>
          <w:p>
            <w:pPr>
              <w:pStyle w:val="TableContents"/>
              <w:bidi w:val="0"/>
              <w:spacing w:lineRule="auto" w:line="285" w:before="0" w:after="0"/>
              <w:ind w:left="0" w:right="0" w:hanging="0"/>
              <w:jc w:val="center"/>
            </w:pPr>
            <w:r>
              <w:t>​</w:t>
            </w:r>
          </w:p>
        </w:tc>
        <w:tc>
          <w:tcPr>
            <w:tcW w:w="391" w:type="dxa"/>
            <w:tcBorders/>
            <w:vAlign w:val="center"/>
          </w:tcPr>
          <w:p>
            <w:pPr>
              <w:pStyle w:val="TableContents"/>
              <w:bidi w:val="0"/>
              <w:spacing w:lineRule="auto" w:line="285" w:before="0" w:after="0"/>
              <w:ind w:left="0" w:right="0" w:hanging="0"/>
              <w:jc w:val="left"/>
            </w:pPr>
            <w:r>
              <w:t>​</w:t>
            </w:r>
          </w:p>
        </w:tc>
      </w:tr>
      <w:t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clinical trial expense</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5,262</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8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3,566</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manufacturing expense</w:t>
            </w:r>
          </w:p>
        </w:tc>
        <w:tc>
          <w:tcPr>
            <w:tcW w:w="346" w:type="dxa"/>
            <w:tcBorders/>
            <w:vAlign w:val="center"/>
          </w:tcPr>
          <w:p>
            <w:pPr>
              <w:pStyle w:val="TableContents"/>
              <w:bidi w:val="0"/>
              <w:spacing w:lineRule="auto" w:line="285" w:before="0" w:after="0"/>
              <w:ind w:left="0" w:right="0" w:hanging="0"/>
              <w:jc w:val="left"/>
            </w:pPr>
            <w:r>
              <w:t>​</w:t>
            </w:r>
          </w:p>
        </w:tc>
        <w:tc>
          <w:tcPr>
            <w:tcW w:w="296" w:type="dxa"/>
            <w:tcBorders/>
            <w:vAlign w:val="center"/>
          </w:tcPr>
          <w:p>
            <w:pPr>
              <w:pStyle w:val="TableContents"/>
              <w:bidi w:val="0"/>
              <w:spacing w:lineRule="auto" w:line="285" w:before="0" w:after="0"/>
              <w:ind w:left="0" w:right="0" w:hanging="0"/>
              <w:jc w:val="left"/>
            </w:pPr>
            <w:r>
              <w:t> </w:t>
            </w:r>
          </w:p>
        </w:tc>
        <w:tc>
          <w:tcPr>
            <w:tcW w:w="8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346" w:type="dxa"/>
            <w:tcBorders/>
            <w:vAlign w:val="center"/>
          </w:tcPr>
          <w:p>
            <w:pPr>
              <w:pStyle w:val="TableContents"/>
              <w:bidi w:val="0"/>
              <w:spacing w:lineRule="auto" w:line="285" w:before="0" w:after="0"/>
              <w:ind w:left="0" w:right="0" w:hanging="0"/>
              <w:jc w:val="left"/>
            </w:pPr>
            <w:r>
              <w:t>​</w:t>
            </w:r>
          </w:p>
        </w:tc>
        <w:tc>
          <w:tcPr>
            <w:tcW w:w="285" w:type="dxa"/>
            <w:tcBorders/>
            <w:vAlign w:val="center"/>
          </w:tcPr>
          <w:p>
            <w:pPr>
              <w:pStyle w:val="TableContents"/>
              <w:bidi w:val="0"/>
              <w:spacing w:lineRule="auto" w:line="285" w:before="0" w:after="0"/>
              <w:ind w:left="0" w:right="0" w:hanging="0"/>
              <w:jc w:val="left"/>
            </w:pPr>
            <w:r>
              <w:t> </w:t>
            </w:r>
          </w:p>
        </w:tc>
        <w:tc>
          <w:tcPr>
            <w:tcW w:w="85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1,812</w:t>
            </w:r>
          </w:p>
        </w:tc>
        <w:tc>
          <w:tcPr>
            <w:tcW w:w="391" w:type="dxa"/>
            <w:tcBorders/>
            <w:vAlign w:val="center"/>
          </w:tcPr>
          <w:p>
            <w:pPr>
              <w:pStyle w:val="TableContents"/>
              <w:bidi w:val="0"/>
              <w:spacing w:lineRule="auto" w:line="285" w:before="0" w:after="0"/>
              <w:ind w:left="0" w:right="0" w:hanging="0"/>
              <w:jc w:val="left"/>
            </w:pPr>
            <w:r>
              <w:t>​</w:t>
            </w:r>
          </w:p>
        </w:tc>
      </w:tr>
      <w:t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Personnel related </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96" w:type="dxa"/>
            <w:tcBorders/>
            <w:shd w:fill="CCEEFF" w:val="clear"/>
            <w:vAlign w:val="center"/>
          </w:tcPr>
          <w:p>
            <w:pPr>
              <w:pStyle w:val="TableContents"/>
              <w:bidi w:val="0"/>
              <w:spacing w:lineRule="auto" w:line="285" w:before="0" w:after="0"/>
              <w:ind w:left="0" w:right="0" w:hanging="0"/>
              <w:jc w:val="left"/>
            </w:pPr>
            <w:r>
              <w:t> </w:t>
            </w:r>
          </w:p>
        </w:tc>
        <w:tc>
          <w:tcPr>
            <w:tcW w:w="8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1,849</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85" w:type="dxa"/>
            <w:tcBorders/>
            <w:shd w:fill="CCEEFF" w:val="clear"/>
            <w:vAlign w:val="center"/>
          </w:tcPr>
          <w:p>
            <w:pPr>
              <w:pStyle w:val="TableContents"/>
              <w:bidi w:val="0"/>
              <w:spacing w:lineRule="auto" w:line="285" w:before="0" w:after="0"/>
              <w:ind w:left="0" w:right="0" w:hanging="0"/>
              <w:jc w:val="left"/>
            </w:pPr>
            <w:r>
              <w:t> </w:t>
            </w:r>
          </w:p>
        </w:tc>
        <w:tc>
          <w:tcPr>
            <w:tcW w:w="8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legal and accounting</w:t>
            </w:r>
          </w:p>
        </w:tc>
        <w:tc>
          <w:tcPr>
            <w:tcW w:w="346" w:type="dxa"/>
            <w:tcBorders/>
            <w:vAlign w:val="center"/>
          </w:tcPr>
          <w:p>
            <w:pPr>
              <w:pStyle w:val="TableContents"/>
              <w:bidi w:val="0"/>
              <w:spacing w:lineRule="auto" w:line="285" w:before="0" w:after="0"/>
              <w:ind w:left="0" w:right="0" w:hanging="0"/>
              <w:jc w:val="left"/>
            </w:pPr>
            <w:r>
              <w:t>​</w:t>
            </w:r>
          </w:p>
        </w:tc>
        <w:tc>
          <w:tcPr>
            <w:tcW w:w="296" w:type="dxa"/>
            <w:tcBorders/>
            <w:vAlign w:val="center"/>
          </w:tcPr>
          <w:p>
            <w:pPr>
              <w:pStyle w:val="TableContents"/>
              <w:bidi w:val="0"/>
              <w:spacing w:lineRule="auto" w:line="285" w:before="0" w:after="0"/>
              <w:ind w:left="0" w:right="0" w:hanging="0"/>
              <w:jc w:val="left"/>
            </w:pPr>
            <w:r>
              <w:t>​</w:t>
            </w:r>
          </w:p>
        </w:tc>
        <w:tc>
          <w:tcPr>
            <w:tcW w:w="8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vAlign w:val="center"/>
          </w:tcPr>
          <w:p>
            <w:pPr>
              <w:pStyle w:val="TableContents"/>
              <w:bidi w:val="0"/>
              <w:spacing w:lineRule="auto" w:line="285" w:before="0" w:after="0"/>
              <w:ind w:left="0" w:right="0" w:hanging="0"/>
              <w:jc w:val="left"/>
            </w:pPr>
            <w:r>
              <w:t>​</w:t>
            </w:r>
          </w:p>
        </w:tc>
        <w:tc>
          <w:tcPr>
            <w:tcW w:w="285" w:type="dxa"/>
            <w:tcBorders/>
            <w:vAlign w:val="center"/>
          </w:tcPr>
          <w:p>
            <w:pPr>
              <w:pStyle w:val="TableContents"/>
              <w:bidi w:val="0"/>
              <w:spacing w:lineRule="auto" w:line="285" w:before="0" w:after="0"/>
              <w:ind w:left="0" w:right="0" w:hanging="0"/>
              <w:jc w:val="left"/>
            </w:pPr>
            <w:r>
              <w:t>​</w:t>
            </w:r>
          </w:p>
        </w:tc>
        <w:tc>
          <w:tcPr>
            <w:tcW w:w="85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91" w:type="dxa"/>
            <w:tcBorders/>
            <w:vAlign w:val="center"/>
          </w:tcPr>
          <w:p>
            <w:pPr>
              <w:pStyle w:val="TableContents"/>
              <w:bidi w:val="0"/>
              <w:spacing w:lineRule="auto" w:line="285" w:before="0" w:after="0"/>
              <w:ind w:left="0" w:right="0" w:hanging="0"/>
              <w:jc w:val="left"/>
            </w:pPr>
            <w:r>
              <w:t>​</w:t>
            </w:r>
          </w:p>
        </w:tc>
      </w:tr>
      <w:t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8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8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8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4906"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2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9,279</w:t>
            </w:r>
          </w:p>
        </w:tc>
        <w:tc>
          <w:tcPr>
            <w:tcW w:w="346" w:type="dxa"/>
            <w:tcBorders/>
            <w:vAlign w:val="center"/>
          </w:tcPr>
          <w:p>
            <w:pPr>
              <w:pStyle w:val="TableContents"/>
              <w:bidi w:val="0"/>
              <w:spacing w:lineRule="auto" w:line="285" w:before="0" w:after="0"/>
              <w:ind w:left="0" w:right="0" w:hanging="0"/>
              <w:jc w:val="left"/>
            </w:pPr>
            <w:r>
              <w:t>​</w:t>
            </w:r>
          </w:p>
        </w:tc>
        <w:tc>
          <w:tcPr>
            <w:tcW w:w="28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6,486</w:t>
            </w:r>
          </w:p>
        </w:tc>
        <w:tc>
          <w:tcPr>
            <w:tcW w:w="391" w:type="dxa"/>
            <w:tcBorders/>
            <w:vAlign w:val="center"/>
          </w:tcPr>
          <w:p>
            <w:pPr>
              <w:pStyle w:val="TableContents"/>
              <w:bidi w:val="0"/>
              <w:spacing w:lineRule="auto" w:line="285" w:before="0" w:after="0"/>
              <w:ind w:left="0" w:right="0" w:hanging="0"/>
              <w:jc w:val="left"/>
            </w:pPr>
            <w:r>
              <w:t>​</w:t>
            </w:r>
          </w:p>
        </w:tc>
      </w:tr>
    </w:tbl>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September 30, 2026 and 2025, the Company recorded approximately $95,000 and $28,000 in depreciation expense, respectively, and during the nine months ended September 30, 2026 and 2025, the Company recorded approximately $158,000 and $79,000 in depreciation expense, respectively.</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9. Warrants</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May 6, 2024, the company completed a registered direct offering in which the Company sold an aggregate of 13,512,699 shares of common stock and common warrants to purchase up to 13,078,509 shares of common stock (or pre-funded warrants in lieu thereof) at a combined offering price of $1.7312 per share and common warrant, and pre-funded warrants to purchase up to 4,144,085 shares of common stock and common warrants to purchase up to 4,010,927 shares of common stock (or pre-funded warrants in lieu thereof), at a combined offering price of $1.7311 per share underlying each pre-funded warrant and common warrant, which equals the offering price per share and common warrant less the $0.0001 exercise price per share of the pre-funded warrants.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pre-funded warrants have an exercise price per share of common stock equal to $0.0001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In accordance with accounting guidance discussed in Note 2, the Company recorded $5.0 million to additional paid-in capital upon issuance of the pre-funded warrants on May 6, 2024. In May 2025, an additional 4,131,828 pre-funded warrants were issued in connection with the exercise of common warrants. As of September 30, 2026, none of the pre-funded warrants have been exercised and 8,275,913 pre-funded warrants remain outstanding.</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common warrants had an exercise price per share of common stock equal to $3.50 per share (or $3.4999 per pre-funded warrant). The exercise price and the number of shares of common stock (or pre-funded warrants in lieu thereof) issuable upon exercise of the common warrants were subject to appropriate adjustments in the event of certain stock dividends and distributions, stock splits, stock combinations, reclassifications or similar events affecting the common stock. The common warrants were exercisable at any time after the date of issuance and had an expiration date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of June 30, 2025. In accordance with accounting guidance discussed in Note 2, “Summary of Significant Accounting Policies,” the Company recorded a decrease in fair value of warrant liability of $27.1 million to other income in its condensed consolidated statement of operations and comprehensive loss for the nine months ended September 30, 2025. As of June 30, 2025, the expiration date of the common warrants, all of the common warrants had been exercised, resulting in proceeds of $54.3 million.</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sz w:val="20"/>
        </w:rPr>
      </w:pPr>
      <w:bookmarkStart w:id="1181" w:name="Tc_KwDnuyWjs0G3l7PpB_t6jg_7_0"/>
      <w:bookmarkStart w:id="1182" w:name="Tc_8LK0q5NoRkyyqQBbH_iFfw_6_0"/>
      <w:bookmarkStart w:id="1183" w:name="Tc_uTL_-EPzh0SOSm8XjsvW1g_5_0"/>
      <w:bookmarkStart w:id="1184" w:name="Tc_NuqBIsYKIE6ZT6SPIHmcfg_4_0"/>
      <w:bookmarkStart w:id="1185" w:name="Tc_Z-lAec048ESNDbb27gep1A_3_0"/>
      <w:bookmarkStart w:id="1186" w:name="Tc_0vinAgqZfE2z0CTZxFdUWw_2_4"/>
      <w:bookmarkStart w:id="1187" w:name="Tc_1IDZMbThFUm-L69N64hZ_A_2_2"/>
      <w:bookmarkStart w:id="1188" w:name="Tc_KZ8cmvV0qEWPo4DLJsq2XQ_1_4"/>
      <w:bookmarkStart w:id="1189" w:name="Tc_EJ9Lgt8OfU-ATLaPOJSIZw_1_2"/>
      <w:bookmarkEnd w:id="1181"/>
      <w:bookmarkEnd w:id="1182"/>
      <w:bookmarkEnd w:id="1183"/>
      <w:bookmarkEnd w:id="1184"/>
      <w:bookmarkEnd w:id="1185"/>
      <w:bookmarkEnd w:id="1186"/>
      <w:bookmarkEnd w:id="1187"/>
      <w:bookmarkEnd w:id="1188"/>
      <w:bookmarkEnd w:id="1189"/>
      <w:r>
        <w:rPr>
          <w:rFonts w:ascii="Times New Roman;Times;serif" w:hAnsi="Times New Roman;Times;serif"/>
          <w:b/>
          <w:sz w:val="20"/>
        </w:rPr>
        <w:t>10. Common Stock</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2026, the amended and restated certificate of incorporation authorizes the Company to issue 290 million shares of common stock and 10 million shares of preferred stock.</w:t>
      </w:r>
    </w:p>
    <w:p>
      <w:pPr>
        <w:pStyle w:val="TextBody"/>
        <w:bidi w:val="0"/>
        <w:spacing w:lineRule="auto" w:line="285" w:before="0" w:after="0"/>
        <w:ind w:left="0" w:right="0" w:firstLine="72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Each share of common stock is entitled to one vote. Common stockholders are entitled to dividends if and when declared by the board of directors. As of September 30, 2026, no dividends on common stock had been declared.</w:t>
      </w:r>
    </w:p>
    <w:p>
      <w:pPr>
        <w:pStyle w:val="TextBody"/>
        <w:bidi w:val="0"/>
        <w:spacing w:lineRule="auto" w:line="285" w:before="0" w:after="0"/>
        <w:ind w:left="0" w:right="0" w:hanging="0"/>
        <w:jc w:val="left"/>
      </w:pPr>
      <w:r>
        <w:t>​</w:t>
      </w:r>
    </w:p>
    <w:p>
      <w:pPr>
        <w:pStyle w:val="TextBody"/>
        <w:bidi w:val="0"/>
        <w:spacing w:lineRule="auto" w:line="240" w:before="0" w:after="0"/>
        <w:ind w:left="0" w:right="0" w:firstLine="720"/>
        <w:jc w:val="left"/>
        <w:rPr>
          <w:rFonts w:ascii="Times New Roman;Times;serif" w:hAnsi="Times New Roman;Times;serif"/>
          <w:sz w:val="20"/>
        </w:rPr>
      </w:pPr>
      <w:r>
        <w:rPr>
          <w:rFonts w:ascii="Times New Roman;Times;serif" w:hAnsi="Times New Roman;Times;serif"/>
          <w:sz w:val="20"/>
        </w:rPr>
        <w:t>On August 6, 2024, the Company entered into an Open Market Sale Agreement</w:t>
      </w:r>
      <w:r>
        <w:rPr>
          <w:rFonts w:ascii="Times New Roman;Times;serif" w:hAnsi="Times New Roman;Times;serif"/>
          <w:sz w:val="15"/>
        </w:rPr>
        <w:t>SM</w:t>
      </w:r>
      <w:r>
        <w:rPr>
          <w:rFonts w:ascii="Times New Roman;Times;serif" w:hAnsi="Times New Roman;Times;serif"/>
          <w:sz w:val="20"/>
        </w:rPr>
        <w:t xml:space="preserve"> (the “2024 Sales Agreement”) with Jefferies LLC (“Jefferies”) to sell shares of the Company’s common stock, from time-to-time, with aggregate gross sales proceeds of up to $100.0 million, through an at-the-market equity offering program under which Jefferies will act as its sales agent. The issuance and sale of shares of common stock by the Company pursuant to the 2024 Sales Agreement are deemed an “at-the-market” offering under the Securities Act of 1933, as amended. Jefferies is entitled to compensation for its services up to 3.0% of the gross proceeds of any shares of common stock sold through Jefferies under the 2024 Sales Agreement.</w:t>
      </w:r>
    </w:p>
    <w:p>
      <w:pPr>
        <w:pStyle w:val="TextBody"/>
        <w:bidi w:val="0"/>
        <w:spacing w:lineRule="auto" w:line="285" w:before="0" w:after="0"/>
        <w:ind w:left="0" w:right="0" w:firstLine="720"/>
        <w:jc w:val="left"/>
      </w:pPr>
      <w:r>
        <w:t>​</w:t>
      </w:r>
    </w:p>
    <w:p>
      <w:pPr>
        <w:pStyle w:val="TextBody"/>
        <w:bidi w:val="0"/>
        <w:spacing w:lineRule="auto" w:line="240" w:before="0" w:after="0"/>
        <w:ind w:left="0" w:right="0" w:firstLine="720"/>
        <w:jc w:val="left"/>
        <w:rPr>
          <w:rFonts w:ascii="Times New Roman;Times;serif" w:hAnsi="Times New Roman;Times;serif"/>
          <w:sz w:val="20"/>
        </w:rPr>
      </w:pPr>
      <w:r>
        <w:rPr>
          <w:rFonts w:ascii="Times New Roman;Times;serif" w:hAnsi="Times New Roman;Times;serif"/>
          <w:sz w:val="20"/>
        </w:rPr>
        <w:t>On January 20, 2026, in connection with the January 2026 financing, as further described in Note 1, the Company suspended the offering of any shares of its common stock under the 2024 Sales Agreement and, on March 13, 2026, the Company entered into an Amended and Restated Open Market Sale Agreement</w:t>
      </w:r>
      <w:r>
        <w:rPr>
          <w:rFonts w:ascii="Times New Roman;Times;serif" w:hAnsi="Times New Roman;Times;serif"/>
          <w:sz w:val="15"/>
        </w:rPr>
        <w:t>SM</w:t>
      </w:r>
      <w:r>
        <w:rPr>
          <w:rFonts w:ascii="Times New Roman;Times;serif" w:hAnsi="Times New Roman;Times;serif"/>
          <w:sz w:val="20"/>
        </w:rPr>
        <w:t>, dated March 13, 2026 (the “Amended Sales Agreement”), with Jefferies, which amends and restates the 2024 Sales Agreement to increase the maximum aggregate offering price of shares of the Company’s common stock from $100.0 million to $200.0 million.</w:t>
      </w:r>
    </w:p>
    <w:p>
      <w:pPr>
        <w:pStyle w:val="TextBody"/>
        <w:bidi w:val="0"/>
        <w:spacing w:lineRule="auto" w:line="285" w:before="0" w:after="0"/>
        <w:ind w:left="0" w:right="0" w:firstLine="72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During the nine months ended September 30, 2026, the Company did not sell any shares of common stock under its at-the-market offering program. As of September 30, 2026, $200.0 million remained available for sale under the Amended Sales Agreement.</w:t>
      </w:r>
    </w:p>
    <w:p>
      <w:pPr>
        <w:pStyle w:val="TextBody"/>
        <w:bidi w:val="0"/>
        <w:spacing w:lineRule="auto" w:line="285" w:before="0" w:after="0"/>
        <w:ind w:left="0" w:right="0" w:firstLine="72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 has reserved shares of common stock for issuance as follows:</w:t>
      </w:r>
    </w:p>
    <w:p>
      <w:pPr>
        <w:pStyle w:val="TextBody"/>
        <w:bidi w:val="0"/>
        <w:spacing w:lineRule="auto" w:line="285" w:before="0" w:after="0"/>
        <w:ind w:left="0" w:right="0" w:hanging="0"/>
        <w:jc w:val="left"/>
      </w:pPr>
      <w:r>
        <w:t>​</w:t>
      </w:r>
    </w:p>
    <w:tbl>
      <w:tblPr>
        <w:tblW w:w="7536" w:type="dxa"/>
        <w:jc w:val="left"/>
        <w:tblInd w:w="0" w:type="dxa"/>
        <w:tblLayout w:type="fixed"/>
        <w:tblCellMar>
          <w:top w:w="0" w:type="dxa"/>
          <w:left w:w="0" w:type="dxa"/>
          <w:bottom w:w="0" w:type="dxa"/>
          <w:right w:w="0" w:type="dxa"/>
        </w:tblCellMar>
      </w:tblPr>
      <w:tblGrid>
        <w:gridCol w:w="4126"/>
        <w:gridCol w:w="346"/>
        <w:gridCol w:w="1186"/>
        <w:gridCol w:w="346"/>
        <w:gridCol w:w="1141"/>
        <w:gridCol w:w="391"/>
      </w:tblGrid>
      <w:t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620010" cy="175260"/>
                      <wp:effectExtent l="0" t="0" r="0" b="0"/>
                      <wp:wrapNone/>
                      <wp:docPr id="203" name="Frame203"/>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753110" cy="175260"/>
                      <wp:effectExtent l="0" t="0" r="0" b="0"/>
                      <wp:wrapNone/>
                      <wp:docPr id="205" name="Frame205"/>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724535" cy="175260"/>
                      <wp:effectExtent l="0" t="0" r="0" b="0"/>
                      <wp:wrapNone/>
                      <wp:docPr id="207" name="Frame20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48285" cy="175260"/>
                      <wp:effectExtent l="0" t="0" r="0" b="0"/>
                      <wp:wrapNone/>
                      <wp:docPr id="208" name="Frame20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4126"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118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lineRule="auto" w:line="285" w:before="0" w:after="0"/>
              <w:ind w:left="0" w:right="0" w:hanging="0"/>
              <w:jc w:val="center"/>
            </w:pPr>
            <w:r>
              <w:t>​</w:t>
            </w:r>
          </w:p>
        </w:tc>
        <w:tc>
          <w:tcPr>
            <w:tcW w:w="114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1" w:type="dxa"/>
            <w:tcBorders/>
            <w:vAlign w:val="center"/>
          </w:tcPr>
          <w:p>
            <w:pPr>
              <w:pStyle w:val="TableContents"/>
              <w:bidi w:val="0"/>
              <w:spacing w:lineRule="auto" w:line="285" w:before="0" w:after="0"/>
              <w:ind w:left="0" w:right="0" w:hanging="0"/>
              <w:jc w:val="left"/>
            </w:pPr>
            <w:r>
              <w:t>​</w:t>
            </w:r>
          </w:p>
        </w:tc>
      </w:tr>
      <w:tr>
        <w:tc>
          <w:tcPr>
            <w:tcW w:w="4126"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11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pPr>
            <w:r>
              <w:t>  ​ ​ ​</w:t>
            </w:r>
          </w:p>
        </w:tc>
        <w:tc>
          <w:tcPr>
            <w:tcW w:w="114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pPr>
            <w:r>
              <w:t>  ​ ​ ​</w:t>
            </w:r>
          </w:p>
        </w:tc>
      </w:tr>
      <w:tr>
        <w:tc>
          <w:tcPr>
            <w:tcW w:w="41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Pre-funded warrants</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11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8,275,913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1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8,275,913</w:t>
            </w:r>
          </w:p>
        </w:tc>
        <w:tc>
          <w:tcPr>
            <w:tcW w:w="391" w:type="dxa"/>
            <w:tcBorders/>
            <w:shd w:fill="CCEEFF" w:val="clear"/>
            <w:vAlign w:val="center"/>
          </w:tcPr>
          <w:p>
            <w:pPr>
              <w:pStyle w:val="TableContents"/>
              <w:bidi w:val="0"/>
              <w:spacing w:lineRule="auto" w:line="285" w:before="0" w:after="0"/>
              <w:ind w:left="0" w:right="0" w:hanging="0"/>
              <w:jc w:val="left"/>
            </w:pPr>
            <w:r>
              <w:t> </w:t>
            </w:r>
          </w:p>
        </w:tc>
      </w:tr>
      <w:tr>
        <w:tc>
          <w:tcPr>
            <w:tcW w:w="41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Shares available for future option grants</w:t>
            </w:r>
          </w:p>
        </w:tc>
        <w:tc>
          <w:tcPr>
            <w:tcW w:w="346" w:type="dxa"/>
            <w:tcBorders/>
            <w:vAlign w:val="center"/>
          </w:tcPr>
          <w:p>
            <w:pPr>
              <w:pStyle w:val="TableContents"/>
              <w:bidi w:val="0"/>
              <w:spacing w:lineRule="auto" w:line="285" w:before="0" w:after="0"/>
              <w:ind w:left="0" w:right="0" w:hanging="0"/>
              <w:jc w:val="left"/>
            </w:pPr>
            <w:r>
              <w:t>​</w:t>
            </w:r>
          </w:p>
        </w:tc>
        <w:tc>
          <w:tcPr>
            <w:tcW w:w="11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6,129,232</w:t>
            </w:r>
          </w:p>
        </w:tc>
        <w:tc>
          <w:tcPr>
            <w:tcW w:w="346" w:type="dxa"/>
            <w:tcBorders/>
            <w:vAlign w:val="center"/>
          </w:tcPr>
          <w:p>
            <w:pPr>
              <w:pStyle w:val="TableContents"/>
              <w:bidi w:val="0"/>
              <w:spacing w:lineRule="auto" w:line="285" w:before="0" w:after="0"/>
              <w:ind w:left="0" w:right="0" w:hanging="0"/>
              <w:jc w:val="left"/>
            </w:pPr>
            <w:r>
              <w:t>​</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3,007,335</w:t>
            </w:r>
          </w:p>
        </w:tc>
        <w:tc>
          <w:tcPr>
            <w:tcW w:w="391" w:type="dxa"/>
            <w:tcBorders/>
            <w:vAlign w:val="center"/>
          </w:tcPr>
          <w:p>
            <w:pPr>
              <w:pStyle w:val="TableContents"/>
              <w:bidi w:val="0"/>
              <w:spacing w:lineRule="auto" w:line="285" w:before="0" w:after="0"/>
              <w:ind w:left="0" w:right="0" w:hanging="0"/>
              <w:jc w:val="left"/>
            </w:pPr>
            <w:r>
              <w:t>​</w:t>
            </w:r>
          </w:p>
        </w:tc>
      </w:tr>
      <w:tr>
        <w:tc>
          <w:tcPr>
            <w:tcW w:w="41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Outstanding options</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11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13,151,332</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1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14,028,177</w:t>
            </w:r>
          </w:p>
        </w:tc>
        <w:tc>
          <w:tcPr>
            <w:tcW w:w="391" w:type="dxa"/>
            <w:tcBorders/>
            <w:shd w:fill="CCEEFF" w:val="clear"/>
            <w:vAlign w:val="center"/>
          </w:tcPr>
          <w:p>
            <w:pPr>
              <w:pStyle w:val="TableContents"/>
              <w:bidi w:val="0"/>
              <w:spacing w:lineRule="auto" w:line="285" w:before="0" w:after="0"/>
              <w:ind w:left="0" w:right="0" w:hanging="0"/>
              <w:jc w:val="left"/>
            </w:pPr>
            <w:r>
              <w:t> </w:t>
            </w:r>
          </w:p>
        </w:tc>
      </w:tr>
      <w:tr>
        <w:tc>
          <w:tcPr>
            <w:tcW w:w="41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Shares reserved for employee stock purchase plan</w:t>
            </w:r>
          </w:p>
        </w:tc>
        <w:tc>
          <w:tcPr>
            <w:tcW w:w="346" w:type="dxa"/>
            <w:tcBorders/>
            <w:vAlign w:val="center"/>
          </w:tcPr>
          <w:p>
            <w:pPr>
              <w:pStyle w:val="TableContents"/>
              <w:bidi w:val="0"/>
              <w:spacing w:lineRule="auto" w:line="285" w:before="0" w:after="0"/>
              <w:ind w:left="0" w:right="0" w:hanging="0"/>
              <w:jc w:val="left"/>
            </w:pPr>
            <w:r>
              <w:t> </w:t>
            </w:r>
          </w:p>
        </w:tc>
        <w:tc>
          <w:tcPr>
            <w:tcW w:w="11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46" w:type="dxa"/>
            <w:tcBorders/>
            <w:vAlign w:val="center"/>
          </w:tcPr>
          <w:p>
            <w:pPr>
              <w:pStyle w:val="TableContents"/>
              <w:bidi w:val="0"/>
              <w:spacing w:lineRule="auto" w:line="285" w:before="0" w:after="0"/>
              <w:ind w:left="0" w:right="0" w:hanging="0"/>
              <w:jc w:val="left"/>
            </w:pPr>
            <w:r>
              <w:t>​</w:t>
            </w:r>
          </w:p>
        </w:tc>
        <w:tc>
          <w:tcPr>
            <w:tcW w:w="11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91" w:type="dxa"/>
            <w:tcBorders/>
            <w:vAlign w:val="center"/>
          </w:tcPr>
          <w:p>
            <w:pPr>
              <w:pStyle w:val="TableContents"/>
              <w:bidi w:val="0"/>
              <w:spacing w:lineRule="auto" w:line="285" w:before="0" w:after="0"/>
              <w:ind w:left="0" w:right="0" w:hanging="0"/>
              <w:jc w:val="left"/>
            </w:pPr>
            <w:r>
              <w:t> </w:t>
            </w:r>
          </w:p>
        </w:tc>
      </w:tr>
      <w:tr>
        <w:tc>
          <w:tcPr>
            <w:tcW w:w="41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11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27,956,477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1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25,711,425</w:t>
            </w:r>
          </w:p>
        </w:tc>
        <w:tc>
          <w:tcPr>
            <w:tcW w:w="391" w:type="dxa"/>
            <w:tcBorders/>
            <w:shd w:fill="CCEEFF" w:val="clear"/>
            <w:vAlign w:val="center"/>
          </w:tcPr>
          <w:p>
            <w:pPr>
              <w:pStyle w:val="TableContents"/>
              <w:bidi w:val="0"/>
              <w:spacing w:lineRule="auto" w:line="285" w:before="0" w:after="0"/>
              <w:ind w:left="0" w:right="0" w:hanging="0"/>
              <w:jc w:val="left"/>
            </w:pPr>
            <w:r>
              <w:t> </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11. Stock Option Plans</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February 2014, the Company adopted the 2014 Equity Incentive Plan (the “2014 Plan”), which was subsequently amended in November 2014, July 2015 and September 2015, under which it granted incentive stock options (“ISOs”) or non-qualified stock options (“NSOs”). Terms of stock agreements, including vesting requirements, are determined by the board of directors or a committee authorized by the board of directors, subject to the provisions of the 2014 Plan. In general, awards granted by the Company vest over four years and have a maximum exercise term of 10 years. The 2014 Plan provides that grants must be at an exercise price of 100% of fair market value of the Company’s common stock as determined by the board of directors on the date of the grant.</w:t>
      </w:r>
    </w:p>
    <w:p>
      <w:pPr>
        <w:pStyle w:val="TextBody"/>
        <w:bidi w:val="0"/>
        <w:spacing w:lineRule="auto" w:line="285" w:before="0" w:after="0"/>
        <w:ind w:left="0" w:right="0" w:firstLine="72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consummation of the IPO in March 2016, the 2016 Equity Incentive Award Plan (the “2016 Plan”) became effective. Under the 2016 Plan, ISOs, NSOs, stock purchase rights and other stock-based awards may be granted. Terms of stock agreements, including vesting requirements, are determined by the board of directors or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bookmarkStart w:id="1190" w:name="Tc_ofer50Ihxk-n9Eir3LtI_g_11_6"/>
      <w:bookmarkStart w:id="1191" w:name="Tc_XpbXGv8th0KwMtdOmY5ajA_11_0"/>
      <w:bookmarkStart w:id="1192" w:name="Tc_PqGtyGkjMkG11coxbuDSxw_10_0"/>
      <w:bookmarkStart w:id="1193" w:name="Tc_FQ3sbJh0yUaEEPbGFLSrTg_9_2"/>
      <w:bookmarkStart w:id="1194" w:name="Tc_ac2mOM_XG02HbBgYyUZF0w_9_0"/>
      <w:bookmarkStart w:id="1195" w:name="Tc_ZekXshkm3kyW88lcojV3ZA_8_0"/>
      <w:bookmarkStart w:id="1196" w:name="Tc_yVrHGyx0s0KfqwghpEmECg_7_7"/>
      <w:bookmarkStart w:id="1197" w:name="Tc_uWMXxDnx3Umu9jzBBsSisg_7_4"/>
      <w:bookmarkStart w:id="1198" w:name="Tc_iWzL2GJX-E-mrh-UWi9XuQ_7_0"/>
      <w:bookmarkStart w:id="1199" w:name="Tc_PJX48LhGOku0OeDU096Y4A_6_6"/>
      <w:bookmarkStart w:id="1200" w:name="Tc_zz4QlfDFPEacUkB0rvYO3Q_6_0"/>
      <w:bookmarkStart w:id="1201" w:name="Tc_UXRSEfkHXUK1KAx3pNKg0Q_5_6"/>
      <w:bookmarkStart w:id="1202" w:name="Tc_8x6ppIZw3E2KxRkMbA__8w_5_4"/>
      <w:bookmarkStart w:id="1203" w:name="Tc_uxIq9pFtnE6DkOZOizP2Tw_5_2"/>
      <w:bookmarkStart w:id="1204" w:name="Tc_4UZevoAS40O1aWBGJ7cduA_4_6"/>
      <w:bookmarkStart w:id="1205" w:name="Tc_MKXJwXmK80-Ejvq4N7LxUg_4_4"/>
      <w:bookmarkStart w:id="1206" w:name="Tc_qhyYYdUVpkywaaOPXdToAg_4_2"/>
      <w:bookmarkStart w:id="1207" w:name="Tc_UiEZCjWHvESNxu9b5QyDUQ_3_6"/>
      <w:bookmarkStart w:id="1208" w:name="Tc_UJdNyouXJUyNSFD7zpAcKg_3_2"/>
      <w:bookmarkStart w:id="1209" w:name="Tc_zrv-9TDUP0GU1FLihVECbw_2_6"/>
      <w:bookmarkStart w:id="1210" w:name="Tc_4kuHs6A5TkOk5UT0CQAQtQ_1_4"/>
      <w:bookmarkStart w:id="1211" w:name="_591b3c18_6ebb_4b94_9df2_296f0984d3ce"/>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r>
        <w:rPr>
          <w:rFonts w:ascii="Times New Roman;Times;serif" w:hAnsi="Times New Roman;Times;serif"/>
          <w:sz w:val="20"/>
        </w:rPr>
        <w:t>a committee authorized by the board of directors, subject to the provisions of the 2016 Plan. In general, awards granted by the Company vest over four years and have a maximum exercise term of 10 years. The 2016 Plan provides that grants must be at an exercise price of 100% of fair market value of the Company’s common stock as determined by the board of directors on the date of the grant. In conjunction with adopting the 2016 Plan, the 2014 Plan was terminated and no further awards will be granted under the 2014 Plan. Options outstanding under the 2014 Plan as of the effective date of the 2016 Plan that are forfeited or lapse unexercised may be re-issued under the 2016 Plan, up to a maximum of 1,136,229 shares.</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Activity under the Company’s stock option plans is set forth below:</w:t>
      </w:r>
    </w:p>
    <w:p>
      <w:pPr>
        <w:pStyle w:val="TextBody"/>
        <w:bidi w:val="0"/>
        <w:spacing w:lineRule="auto" w:line="285" w:before="0" w:after="0"/>
        <w:ind w:left="0" w:right="0" w:hanging="0"/>
        <w:jc w:val="left"/>
      </w:pPr>
      <w:r>
        <w:t>​</w:t>
      </w:r>
    </w:p>
    <w:tbl>
      <w:tblPr>
        <w:tblW w:w="6592" w:type="dxa"/>
        <w:jc w:val="left"/>
        <w:tblInd w:w="0" w:type="dxa"/>
        <w:tblLayout w:type="fixed"/>
        <w:tblCellMar>
          <w:top w:w="0" w:type="dxa"/>
          <w:left w:w="0" w:type="dxa"/>
          <w:bottom w:w="0" w:type="dxa"/>
          <w:right w:w="0" w:type="dxa"/>
        </w:tblCellMar>
      </w:tblPr>
      <w:tblGrid>
        <w:gridCol w:w="2641"/>
        <w:gridCol w:w="346"/>
        <w:gridCol w:w="931"/>
        <w:gridCol w:w="346"/>
        <w:gridCol w:w="1036"/>
        <w:gridCol w:w="346"/>
        <w:gridCol w:w="241"/>
        <w:gridCol w:w="705"/>
      </w:tblGrid>
      <w:t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677035" cy="175260"/>
                      <wp:effectExtent l="0" t="0" r="0" b="0"/>
                      <wp:wrapNone/>
                      <wp:docPr id="209" name="Frame209"/>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91185" cy="175260"/>
                      <wp:effectExtent l="0" t="0" r="0" b="0"/>
                      <wp:wrapNone/>
                      <wp:docPr id="211" name="Frame2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57860" cy="175260"/>
                      <wp:effectExtent l="0" t="0" r="0" b="0"/>
                      <wp:wrapNone/>
                      <wp:docPr id="213" name="Frame21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53035" cy="175260"/>
                      <wp:effectExtent l="0" t="0" r="0" b="0"/>
                      <wp:wrapNone/>
                      <wp:docPr id="215" name="Frame215"/>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47675" cy="175260"/>
                      <wp:effectExtent l="0" t="0" r="0" b="0"/>
                      <wp:wrapNone/>
                      <wp:docPr id="216" name="Frame216"/>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264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93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2328"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r>
      <w:tr>
        <w:tc>
          <w:tcPr>
            <w:tcW w:w="264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93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1036"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94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b/>
                <w:sz w:val="16"/>
              </w:rPr>
              <w:t>Weighted</w:t>
            </w:r>
            <w:r>
              <w:rPr>
                <w:rFonts w:ascii="Times New Roman;Times;serif" w:hAnsi="Times New Roman;Times;serif"/>
                <w:sz w:val="16"/>
              </w:rPr>
              <w:t> </w:t>
              <w:noBreakHyphen/>
            </w:r>
          </w:p>
        </w:tc>
      </w:tr>
      <w:tr>
        <w:tc>
          <w:tcPr>
            <w:tcW w:w="264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93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lineRule="auto" w:line="285" w:before="0" w:after="0"/>
              <w:ind w:left="0" w:right="0" w:hanging="0"/>
              <w:jc w:val="left"/>
            </w:pPr>
            <w:r>
              <w:t>​</w:t>
            </w:r>
          </w:p>
        </w:tc>
        <w:tc>
          <w:tcPr>
            <w:tcW w:w="1036"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94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c>
          <w:tcPr>
            <w:tcW w:w="264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93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Available</w:t>
            </w:r>
          </w:p>
        </w:tc>
        <w:tc>
          <w:tcPr>
            <w:tcW w:w="346" w:type="dxa"/>
            <w:tcBorders/>
            <w:vAlign w:val="center"/>
          </w:tcPr>
          <w:p>
            <w:pPr>
              <w:pStyle w:val="TableContents"/>
              <w:bidi w:val="0"/>
              <w:spacing w:lineRule="auto" w:line="285" w:before="0" w:after="0"/>
              <w:ind w:left="0" w:right="0" w:hanging="0"/>
              <w:jc w:val="left"/>
            </w:pPr>
            <w:r>
              <w:t>​</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46" w:type="dxa"/>
            <w:tcBorders/>
            <w:vAlign w:val="center"/>
          </w:tcPr>
          <w:p>
            <w:pPr>
              <w:pStyle w:val="TableContents"/>
              <w:bidi w:val="0"/>
              <w:spacing w:lineRule="auto" w:line="285" w:before="0" w:after="0"/>
              <w:ind w:left="0" w:right="0" w:hanging="0"/>
              <w:jc w:val="left"/>
            </w:pPr>
            <w:r>
              <w:t>​</w:t>
            </w:r>
          </w:p>
        </w:tc>
        <w:tc>
          <w:tcPr>
            <w:tcW w:w="94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r>
      <w:tr>
        <w:tc>
          <w:tcPr>
            <w:tcW w:w="264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Grant</w:t>
            </w:r>
          </w:p>
        </w:tc>
        <w:tc>
          <w:tcPr>
            <w:tcW w:w="346" w:type="dxa"/>
            <w:tcBorders/>
            <w:vAlign w:val="center"/>
          </w:tcPr>
          <w:p>
            <w:pPr>
              <w:pStyle w:val="TableContents"/>
              <w:bidi w:val="0"/>
              <w:spacing w:lineRule="auto" w:line="285" w:before="0" w:after="0"/>
              <w:ind w:left="0" w:right="0" w:hanging="0"/>
              <w:jc w:val="left"/>
            </w:pPr>
            <w:r>
              <w:t>  ​ ​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lineRule="auto" w:line="285" w:before="0" w:after="0"/>
              <w:ind w:left="0" w:right="0" w:hanging="0"/>
              <w:jc w:val="left"/>
            </w:pPr>
            <w:r>
              <w:t>  ​ ​ ​</w:t>
            </w:r>
          </w:p>
        </w:tc>
        <w:tc>
          <w:tcPr>
            <w:tcW w:w="94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r>
      <w:tr>
        <w:tc>
          <w:tcPr>
            <w:tcW w:w="26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3,007,335</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14,028,177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5.20</w:t>
            </w:r>
          </w:p>
        </w:tc>
      </w:tr>
      <w:tr>
        <w:tc>
          <w:tcPr>
            <w:tcW w:w="26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Additional shares authorized</w:t>
            </w:r>
          </w:p>
        </w:tc>
        <w:tc>
          <w:tcPr>
            <w:tcW w:w="346" w:type="dxa"/>
            <w:tcBorders/>
            <w:vAlign w:val="center"/>
          </w:tcPr>
          <w:p>
            <w:pPr>
              <w:pStyle w:val="TableContents"/>
              <w:bidi w:val="0"/>
              <w:spacing w:lineRule="auto" w:line="285" w:before="0" w:after="0"/>
              <w:ind w:left="0" w:right="0" w:hanging="0"/>
              <w:jc w:val="left"/>
            </w:pPr>
            <w:r>
              <w:t> </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2,987,865</w:t>
            </w:r>
          </w:p>
        </w:tc>
        <w:tc>
          <w:tcPr>
            <w:tcW w:w="346" w:type="dxa"/>
            <w:tcBorders/>
            <w:vAlign w:val="center"/>
          </w:tcPr>
          <w:p>
            <w:pPr>
              <w:pStyle w:val="TableContents"/>
              <w:bidi w:val="0"/>
              <w:spacing w:lineRule="auto" w:line="285" w:before="0" w:after="0"/>
              <w:ind w:left="0" w:right="0" w:hanging="0"/>
              <w:jc w:val="left"/>
            </w:pPr>
            <w:r>
              <w:t> </w:t>
            </w:r>
          </w:p>
        </w:tc>
        <w:tc>
          <w:tcPr>
            <w:tcW w:w="1036"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241" w:type="dxa"/>
            <w:tcBorders/>
            <w:vAlign w:val="center"/>
          </w:tcPr>
          <w:p>
            <w:pPr>
              <w:pStyle w:val="TableContents"/>
              <w:bidi w:val="0"/>
              <w:spacing w:lineRule="auto" w:line="285" w:before="0" w:after="0"/>
              <w:ind w:left="0" w:right="0" w:hanging="0"/>
              <w:jc w:val="left"/>
            </w:pPr>
            <w:r>
              <w:t> </w:t>
            </w:r>
          </w:p>
        </w:tc>
        <w:tc>
          <w:tcPr>
            <w:tcW w:w="705" w:type="dxa"/>
            <w:tcBorders/>
            <w:vAlign w:val="center"/>
          </w:tcPr>
          <w:p>
            <w:pPr>
              <w:pStyle w:val="TableContents"/>
              <w:bidi w:val="0"/>
              <w:spacing w:lineRule="auto" w:line="285" w:before="0" w:after="0"/>
              <w:ind w:left="0" w:right="0" w:hanging="0"/>
              <w:jc w:val="right"/>
            </w:pPr>
            <w:r>
              <w:t>—</w:t>
            </w:r>
          </w:p>
        </w:tc>
      </w:tr>
      <w:tr>
        <w:tc>
          <w:tcPr>
            <w:tcW w:w="26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Options granted</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(400,500)</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400,500</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41" w:type="dxa"/>
            <w:tcBorders/>
            <w:shd w:fill="CCEEFF" w:val="clear"/>
            <w:vAlign w:val="center"/>
          </w:tcPr>
          <w:p>
            <w:pPr>
              <w:pStyle w:val="TableContents"/>
              <w:bidi w:val="0"/>
              <w:spacing w:lineRule="auto" w:line="285" w:before="0" w:after="0"/>
              <w:ind w:left="0" w:right="0" w:hanging="0"/>
              <w:jc w:val="left"/>
            </w:pPr>
            <w:r>
              <w:t> </w:t>
            </w:r>
          </w:p>
        </w:tc>
        <w:tc>
          <w:tcPr>
            <w:tcW w:w="7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13.18</w:t>
            </w:r>
          </w:p>
        </w:tc>
      </w:tr>
      <w:tr>
        <w:tc>
          <w:tcPr>
            <w:tcW w:w="26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Options exercised </w:t>
            </w:r>
          </w:p>
        </w:tc>
        <w:tc>
          <w:tcPr>
            <w:tcW w:w="346" w:type="dxa"/>
            <w:tcBorders/>
            <w:vAlign w:val="center"/>
          </w:tcPr>
          <w:p>
            <w:pPr>
              <w:pStyle w:val="TableContents"/>
              <w:bidi w:val="0"/>
              <w:spacing w:lineRule="auto" w:line="285" w:before="0" w:after="0"/>
              <w:ind w:left="0" w:right="0" w:hanging="0"/>
              <w:jc w:val="left"/>
            </w:pPr>
            <w:r>
              <w:t> </w:t>
            </w:r>
          </w:p>
        </w:tc>
        <w:tc>
          <w:tcPr>
            <w:tcW w:w="93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(536,969)</w:t>
            </w:r>
          </w:p>
        </w:tc>
        <w:tc>
          <w:tcPr>
            <w:tcW w:w="346" w:type="dxa"/>
            <w:tcBorders/>
            <w:vAlign w:val="center"/>
          </w:tcPr>
          <w:p>
            <w:pPr>
              <w:pStyle w:val="TableContents"/>
              <w:bidi w:val="0"/>
              <w:spacing w:lineRule="auto" w:line="285" w:before="0" w:after="0"/>
              <w:ind w:left="0" w:right="0" w:hanging="0"/>
              <w:jc w:val="left"/>
            </w:pPr>
            <w:r>
              <w:t>​</w:t>
            </w:r>
          </w:p>
        </w:tc>
        <w:tc>
          <w:tcPr>
            <w:tcW w:w="241" w:type="dxa"/>
            <w:tcBorders/>
            <w:vAlign w:val="center"/>
          </w:tcPr>
          <w:p>
            <w:pPr>
              <w:pStyle w:val="TableContents"/>
              <w:bidi w:val="0"/>
              <w:spacing w:lineRule="auto" w:line="285" w:before="0" w:after="0"/>
              <w:ind w:left="0" w:right="0" w:hanging="0"/>
              <w:jc w:val="left"/>
            </w:pPr>
            <w:r>
              <w:t> </w:t>
            </w:r>
          </w:p>
        </w:tc>
        <w:tc>
          <w:tcPr>
            <w:tcW w:w="70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4.30</w:t>
            </w:r>
          </w:p>
        </w:tc>
      </w:tr>
      <w:tr>
        <w:tc>
          <w:tcPr>
            <w:tcW w:w="26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Options forfeited or expired (1)</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534,532</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(740,376)</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41" w:type="dxa"/>
            <w:tcBorders/>
            <w:shd w:fill="CCEEFF" w:val="clear"/>
            <w:vAlign w:val="center"/>
          </w:tcPr>
          <w:p>
            <w:pPr>
              <w:pStyle w:val="TableContents"/>
              <w:bidi w:val="0"/>
              <w:spacing w:lineRule="auto" w:line="285" w:before="0" w:after="0"/>
              <w:ind w:left="0" w:right="0" w:hanging="0"/>
              <w:jc w:val="left"/>
            </w:pPr>
            <w:r>
              <w:t> </w:t>
            </w:r>
          </w:p>
        </w:tc>
        <w:tc>
          <w:tcPr>
            <w:tcW w:w="7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13.37</w:t>
            </w:r>
          </w:p>
        </w:tc>
      </w:tr>
      <w:tr>
        <w:tc>
          <w:tcPr>
            <w:tcW w:w="26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2026</w:t>
            </w:r>
          </w:p>
        </w:tc>
        <w:tc>
          <w:tcPr>
            <w:tcW w:w="346" w:type="dxa"/>
            <w:tcBorders/>
            <w:vAlign w:val="center"/>
          </w:tcPr>
          <w:p>
            <w:pPr>
              <w:pStyle w:val="TableContents"/>
              <w:bidi w:val="0"/>
              <w:spacing w:lineRule="auto" w:line="285" w:before="0" w:after="0"/>
              <w:ind w:left="0" w:right="0" w:hanging="0"/>
              <w:jc w:val="left"/>
            </w:pPr>
            <w:r>
              <w:t> </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6,129,232</w:t>
            </w:r>
          </w:p>
        </w:tc>
        <w:tc>
          <w:tcPr>
            <w:tcW w:w="346" w:type="dxa"/>
            <w:tcBorders/>
            <w:vAlign w:val="center"/>
          </w:tcPr>
          <w:p>
            <w:pPr>
              <w:pStyle w:val="TableContents"/>
              <w:bidi w:val="0"/>
              <w:spacing w:lineRule="auto" w:line="285" w:before="0" w:after="0"/>
              <w:ind w:left="0" w:right="0" w:hanging="0"/>
              <w:jc w:val="left"/>
            </w:pPr>
            <w:r>
              <w:t> </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13,151,332</w:t>
            </w:r>
          </w:p>
        </w:tc>
        <w:tc>
          <w:tcPr>
            <w:tcW w:w="346" w:type="dxa"/>
            <w:tcBorders/>
            <w:vAlign w:val="center"/>
          </w:tcPr>
          <w:p>
            <w:pPr>
              <w:pStyle w:val="TableContents"/>
              <w:bidi w:val="0"/>
              <w:spacing w:lineRule="auto" w:line="285" w:before="0" w:after="0"/>
              <w:ind w:left="0" w:right="0" w:hanging="0"/>
              <w:jc w:val="left"/>
            </w:pPr>
            <w:r>
              <w:t>​</w:t>
            </w:r>
          </w:p>
        </w:tc>
        <w:tc>
          <w:tcPr>
            <w:tcW w:w="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5.01</w:t>
            </w:r>
          </w:p>
        </w:tc>
      </w:tr>
    </w:tbl>
    <w:p>
      <w:pPr>
        <w:pStyle w:val="TextBody"/>
        <w:bidi w:val="0"/>
        <w:spacing w:lineRule="auto" w:line="285" w:before="0" w:after="0"/>
        <w:ind w:left="0" w:right="0" w:hanging="0"/>
        <w:jc w:val="left"/>
      </w:pPr>
      <w:r>
        <w:t>​</w:t>
      </w:r>
    </w:p>
    <w:tbl>
      <w:tblPr>
        <w:tblW w:w="10205" w:type="dxa"/>
        <w:jc w:val="left"/>
        <w:tblInd w:w="0" w:type="dxa"/>
        <w:tblLayout w:type="fixed"/>
        <w:tblCellMar>
          <w:top w:w="28" w:type="dxa"/>
          <w:left w:w="28" w:type="dxa"/>
          <w:bottom w:w="28" w:type="dxa"/>
          <w:right w:w="28" w:type="dxa"/>
        </w:tblCellMar>
      </w:tblPr>
      <w:tblGrid>
        <w:gridCol w:w="124"/>
        <w:gridCol w:w="277"/>
        <w:gridCol w:w="9804"/>
      </w:tblGrid>
      <w:tr>
        <w:tc>
          <w:tcPr>
            <w:tcW w:w="124" w:type="dxa"/>
            <w:tcBorders/>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804"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val="false"/>
                <w:caps w:val="false"/>
                <w:smallCaps w:val="false"/>
                <w:sz w:val="18"/>
              </w:rPr>
              <w:t>During the nine months ended September 30, 2026, 740,376</w:t>
            </w:r>
            <w:r>
              <w:rPr>
                <w:caps w:val="false"/>
                <w:smallCaps w:val="false"/>
              </w:rPr>
              <w:t xml:space="preserve"> </w:t>
            </w:r>
            <w:r>
              <w:rPr>
                <w:rFonts w:ascii="Times New Roman;Times;serif" w:hAnsi="Times New Roman;Times;serif"/>
                <w:b w:val="false"/>
                <w:i w:val="false"/>
                <w:caps w:val="false"/>
                <w:smallCaps w:val="false"/>
                <w:sz w:val="18"/>
              </w:rPr>
              <w:t>options were forfeited or expired, of which 534,532</w:t>
            </w:r>
            <w:r>
              <w:rPr>
                <w:caps w:val="false"/>
                <w:smallCaps w:val="false"/>
              </w:rPr>
              <w:t xml:space="preserve"> </w:t>
            </w:r>
            <w:r>
              <w:rPr>
                <w:rFonts w:ascii="Times New Roman;Times;serif" w:hAnsi="Times New Roman;Times;serif"/>
                <w:b w:val="false"/>
                <w:i w:val="false"/>
                <w:caps w:val="false"/>
                <w:smallCaps w:val="false"/>
                <w:sz w:val="18"/>
              </w:rPr>
              <w:t>shares became available for future grants under the 2016 Plan. The remaining 205,844</w:t>
            </w:r>
            <w:r>
              <w:rPr>
                <w:caps w:val="false"/>
                <w:smallCaps w:val="false"/>
              </w:rPr>
              <w:t xml:space="preserve"> </w:t>
            </w:r>
            <w:r>
              <w:rPr>
                <w:rFonts w:ascii="Times New Roman;Times;serif" w:hAnsi="Times New Roman;Times;serif"/>
                <w:b w:val="false"/>
                <w:i w:val="false"/>
                <w:caps w:val="false"/>
                <w:smallCaps w:val="false"/>
                <w:sz w:val="18"/>
              </w:rPr>
              <w:t>shares are not eligible to be re-issued under the 2016 Plan due to the limitation on shares transferable from the 2014 Plan to the 2016 Plan, as described above.</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sz w:val="20"/>
        </w:rPr>
      </w:pPr>
      <w:bookmarkStart w:id="1212" w:name="Tc_ZJ2Ta8p-dU60A6dkFVuc1g_6_11"/>
      <w:bookmarkStart w:id="1213" w:name="Tc_cXliHuzw_Eyx0n4zkFUM3g_6_8"/>
      <w:bookmarkStart w:id="1214" w:name="Tc_yPs0IfUcbESzx39sJaKJdg_6_5"/>
      <w:bookmarkStart w:id="1215" w:name="Tc_12U1tulMuUGXrH2Zthe2eA_6_2"/>
      <w:bookmarkStart w:id="1216" w:name="Tc_RwrwBGCzJ0iMwGoYWDD1uA_6_0"/>
      <w:bookmarkStart w:id="1217" w:name="Tc_uxeNyO_JGkKMid76ldj-OA_5_0"/>
      <w:bookmarkStart w:id="1218" w:name="Tc_E0Z88Qxya0GJjKbl_X-qVw_4_11"/>
      <w:bookmarkStart w:id="1219" w:name="Tc_G6eM92nX6U6YHdSeR6StKg_4_8"/>
      <w:bookmarkStart w:id="1220" w:name="Tc_axx92nLi2U2AGcwc9MPeWA_4_5"/>
      <w:bookmarkStart w:id="1221" w:name="Tc_W0ax8mFpskmbAk5C2vax5g_4_2"/>
      <w:bookmarkStart w:id="1222" w:name="Tc_Ndzqc9pPFEChs8JxaUjJMw_4_0"/>
      <w:bookmarkStart w:id="1223" w:name="Tc_izbwbqg0SEu9MGtUbt_9kw_3_11"/>
      <w:bookmarkStart w:id="1224" w:name="Tc_rFGMzcKhN02Bca-ajaxPkA_3_8"/>
      <w:bookmarkStart w:id="1225" w:name="Tc_SPqBfWZy2kqn-xSSMbAx6Q_3_5"/>
      <w:bookmarkStart w:id="1226" w:name="Tc_wyEAnaQXJEi-8wGdpp4ptg_3_2"/>
      <w:bookmarkStart w:id="1227" w:name="Tc_3fIlP9F2bkKbXVOuDh-_VQ_2_8"/>
      <w:bookmarkStart w:id="1228" w:name="Tc_IXMu0sZ2Ykm_zI8nyWPxmw_2_2"/>
      <w:bookmarkStart w:id="1229" w:name="Tc_K5kEKdlF106B2scKnr7p3g_1_8"/>
      <w:bookmarkStart w:id="1230" w:name="Tc_Xs3tRFV0tUqNofV3V3LVRg_1_2"/>
      <w:bookmarkStart w:id="1231" w:name="_612082e7_baf5_4f1b_ac11_dbd3d5a4800d"/>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r>
        <w:rPr>
          <w:rFonts w:ascii="Times New Roman;Times;serif" w:hAnsi="Times New Roman;Times;serif"/>
          <w:b/>
          <w:sz w:val="20"/>
        </w:rPr>
        <w:t>12. Stock-Based Compensation</w:t>
      </w:r>
    </w:p>
    <w:p>
      <w:pPr>
        <w:pStyle w:val="TextBody"/>
        <w:bidi w:val="0"/>
        <w:spacing w:lineRule="auto" w:line="285" w:before="0" w:after="0"/>
        <w:ind w:left="0" w:right="0" w:firstLine="72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Company’s results of operations include expenses relating to employee and non-employee stock-based awards as follows (in thousands):</w:t>
      </w:r>
    </w:p>
    <w:p>
      <w:pPr>
        <w:pStyle w:val="TextBody"/>
        <w:bidi w:val="0"/>
        <w:spacing w:lineRule="auto" w:line="285" w:before="0" w:after="0"/>
        <w:ind w:left="0" w:right="0" w:firstLine="720"/>
        <w:jc w:val="left"/>
      </w:pPr>
      <w:r>
        <w:t>​</w:t>
      </w:r>
    </w:p>
    <w:tbl>
      <w:tblPr>
        <w:tblW w:w="7214" w:type="dxa"/>
        <w:jc w:val="left"/>
        <w:tblInd w:w="0" w:type="dxa"/>
        <w:tblLayout w:type="fixed"/>
        <w:tblCellMar>
          <w:top w:w="0" w:type="dxa"/>
          <w:left w:w="0" w:type="dxa"/>
          <w:bottom w:w="0" w:type="dxa"/>
          <w:right w:w="0" w:type="dxa"/>
        </w:tblCellMar>
      </w:tblPr>
      <w:tblGrid>
        <w:gridCol w:w="2311"/>
        <w:gridCol w:w="346"/>
        <w:gridCol w:w="211"/>
        <w:gridCol w:w="571"/>
        <w:gridCol w:w="346"/>
        <w:gridCol w:w="211"/>
        <w:gridCol w:w="571"/>
        <w:gridCol w:w="346"/>
        <w:gridCol w:w="211"/>
        <w:gridCol w:w="571"/>
        <w:gridCol w:w="346"/>
        <w:gridCol w:w="211"/>
        <w:gridCol w:w="571"/>
        <w:gridCol w:w="391"/>
      </w:tblGrid>
      <w:t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467485" cy="175260"/>
                      <wp:effectExtent l="0" t="0" r="0" b="0"/>
                      <wp:wrapNone/>
                      <wp:docPr id="217" name="Frame21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62585" cy="175260"/>
                      <wp:effectExtent l="0" t="0" r="0" b="0"/>
                      <wp:wrapNone/>
                      <wp:docPr id="220" name="Frame2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62585" cy="175260"/>
                      <wp:effectExtent l="0" t="0" r="0" b="0"/>
                      <wp:wrapNone/>
                      <wp:docPr id="223" name="Frame2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62585" cy="175260"/>
                      <wp:effectExtent l="0" t="0" r="0" b="0"/>
                      <wp:wrapNone/>
                      <wp:docPr id="226" name="Frame2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62585" cy="175260"/>
                      <wp:effectExtent l="0" t="0" r="0" b="0"/>
                      <wp:wrapNone/>
                      <wp:docPr id="229" name="Frame22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48285" cy="175260"/>
                      <wp:effectExtent l="0" t="0" r="0" b="0"/>
                      <wp:wrapNone/>
                      <wp:docPr id="230" name="Frame23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231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191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left"/>
            </w:pPr>
            <w:r>
              <w:t>​</w:t>
            </w:r>
          </w:p>
        </w:tc>
        <w:tc>
          <w:tcPr>
            <w:tcW w:w="191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91" w:type="dxa"/>
            <w:tcBorders/>
            <w:vAlign w:val="center"/>
          </w:tcPr>
          <w:p>
            <w:pPr>
              <w:pStyle w:val="TableContents"/>
              <w:bidi w:val="0"/>
              <w:spacing w:lineRule="auto" w:line="285" w:before="0" w:after="0"/>
              <w:ind w:left="0" w:right="0" w:hanging="0"/>
              <w:jc w:val="left"/>
            </w:pPr>
            <w:r>
              <w:t>​</w:t>
            </w:r>
          </w:p>
        </w:tc>
      </w:tr>
      <w:tr>
        <w:tc>
          <w:tcPr>
            <w:tcW w:w="231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19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lineRule="auto" w:line="285" w:before="0" w:after="0"/>
              <w:ind w:left="0" w:right="0" w:hanging="0"/>
              <w:jc w:val="left"/>
            </w:pPr>
            <w:r>
              <w:t>​</w:t>
            </w:r>
          </w:p>
        </w:tc>
        <w:tc>
          <w:tcPr>
            <w:tcW w:w="19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91" w:type="dxa"/>
            <w:tcBorders/>
            <w:vAlign w:val="center"/>
          </w:tcPr>
          <w:p>
            <w:pPr>
              <w:pStyle w:val="TableContents"/>
              <w:bidi w:val="0"/>
              <w:spacing w:lineRule="auto" w:line="285" w:before="0" w:after="0"/>
              <w:ind w:left="0" w:right="0" w:hanging="0"/>
              <w:jc w:val="left"/>
            </w:pPr>
            <w:r>
              <w:t>​</w:t>
            </w:r>
          </w:p>
        </w:tc>
      </w:tr>
      <w:tr>
        <w:tc>
          <w:tcPr>
            <w:tcW w:w="231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pPr>
            <w: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pPr>
            <w: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pPr>
            <w: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pPr>
            <w:r>
              <w:t>  ​ ​ ​</w:t>
            </w:r>
          </w:p>
        </w:tc>
      </w:tr>
      <w:tr>
        <w:tc>
          <w:tcPr>
            <w:tcW w:w="23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1,165</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539</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3,337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1,608</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23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1,664</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4,751</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2,148</w:t>
            </w:r>
          </w:p>
        </w:tc>
        <w:tc>
          <w:tcPr>
            <w:tcW w:w="391" w:type="dxa"/>
            <w:tcBorders/>
            <w:vAlign w:val="center"/>
          </w:tcPr>
          <w:p>
            <w:pPr>
              <w:pStyle w:val="TableContents"/>
              <w:bidi w:val="0"/>
              <w:spacing w:lineRule="auto" w:line="285" w:before="0" w:after="0"/>
              <w:ind w:left="0" w:right="0" w:hanging="0"/>
              <w:jc w:val="left"/>
            </w:pPr>
            <w:r>
              <w:t>​</w:t>
            </w:r>
          </w:p>
        </w:tc>
      </w:tr>
      <w:tr>
        <w:tc>
          <w:tcPr>
            <w:tcW w:w="23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2,829</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1,249</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8,088</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3,756</w:t>
            </w:r>
          </w:p>
        </w:tc>
        <w:tc>
          <w:tcPr>
            <w:tcW w:w="391" w:type="dxa"/>
            <w:tcBorders/>
            <w:shd w:fill="CCEEFF" w:val="clear"/>
            <w:vAlign w:val="center"/>
          </w:tcPr>
          <w:p>
            <w:pPr>
              <w:pStyle w:val="TableContents"/>
              <w:bidi w:val="0"/>
              <w:spacing w:lineRule="auto" w:line="285" w:before="0" w:after="0"/>
              <w:ind w:left="0" w:right="0" w:hanging="0"/>
              <w:jc w:val="left"/>
            </w:pPr>
            <w:r>
              <w:t>​</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13. Income Taxes</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nine months ended September 30, 2026 and 2025, the Company recorded no income tax benefits for the net operating losses (NOLs) incurred due to the uncertainty of realizing a benefit from those items. The Company continues to maintain a full valuation allowance against its net deferred tax assets.</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14. Facility Lease</w:t>
      </w:r>
    </w:p>
    <w:p>
      <w:pPr>
        <w:pStyle w:val="TextBody"/>
        <w:bidi w:val="0"/>
        <w:spacing w:lineRule="auto" w:line="285" w:before="0" w:after="0"/>
        <w:ind w:left="0" w:right="0" w:firstLine="72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October 22, 2024, the Company entered into an operating sub-sublease agreement, pursuant to which the Company sub-leased approximately 20,916 square feet of office and lab space. The sub-sublease has a term of three years commencing on February 21, 2025 with an option to extend at fair market value for an additional 27 months. The Company records rent expense on a straight-line basis over the effective term of the lease, including any free rent periods and incentives. As the interest rate implicit in lease arrangements is typically not readily available, in calculating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bookmarkStart w:id="1232" w:name="Tc_PlNoOelCp0itvs1Uk0VyBA_6_2"/>
      <w:bookmarkStart w:id="1233" w:name="Tc_XeHTPCdYLEqkFGhSIAG1lg_6_0"/>
      <w:bookmarkStart w:id="1234" w:name="Tc_Jv4QMG3f30-vYw6Cj0z9tg_5_0"/>
      <w:bookmarkStart w:id="1235" w:name="Tc_PbiWKVObH0mZadAzjr0_Dw_4_0"/>
      <w:bookmarkStart w:id="1236" w:name="Tc_IW_EN7L_uUWneBUE6mgtbA_3_0"/>
      <w:bookmarkStart w:id="1237" w:name="Tc_G9acamnZ0kWGHi3uuDUGpw_2_2"/>
      <w:bookmarkStart w:id="1238" w:name="Tc_AJ2CPajNi027zUGRyY-Jvg_2_0"/>
      <w:bookmarkStart w:id="1239" w:name="Tc_kdj8MDpZpEOmocagAlJC0Q_1_0"/>
      <w:bookmarkStart w:id="1240" w:name="_9d4f7e36_53ea_4720_9bc0_537a022197d2"/>
      <w:bookmarkStart w:id="1241" w:name="Tc_I5jjUWLwe0WxOhRXG4dojw_11_0"/>
      <w:bookmarkStart w:id="1242" w:name="Tc_eDvvQIPO90GvXeokwtPXQw_10_14"/>
      <w:bookmarkStart w:id="1243" w:name="Tc__kzj___NY0uOdRnI1YdMZg_10_11"/>
      <w:bookmarkStart w:id="1244" w:name="Tc_N0bxBR7Mb06muGDJJSFzLg_10_8"/>
      <w:bookmarkStart w:id="1245" w:name="Tc_BljQImnebkG7ynMrItLK-w_10_5"/>
      <w:bookmarkStart w:id="1246" w:name="Tc_2cdo7jcFnUOETPNIwU8nbw_10_0"/>
      <w:bookmarkStart w:id="1247" w:name="Tc_lCBcYI_GGkGb6Buq3Udnqg_9_13"/>
      <w:bookmarkStart w:id="1248" w:name="Tc_81mlzdv1gUe9_LAh6S5QhA_9_10"/>
      <w:bookmarkStart w:id="1249" w:name="Tc_dZ-x2kS7c02VbSHx1wrjDg_9_7"/>
      <w:bookmarkStart w:id="1250" w:name="Tc_4PWzOWKpXkO_FottLFV3Bg_9_4"/>
      <w:bookmarkStart w:id="1251" w:name="Tc_rl0A-EVcxUaqZdUibO3MHg_9_0"/>
      <w:bookmarkStart w:id="1252" w:name="Tc_FCRwKqkUZUKdSyJSSF79NA_8_0"/>
      <w:bookmarkStart w:id="1253" w:name="Tc_eQQJR-L2Uk-Z6hHulTVUrA_7_13"/>
      <w:bookmarkStart w:id="1254" w:name="Tc_QAKIw4ZTAkinPJkJkoBSeA_7_10"/>
      <w:bookmarkStart w:id="1255" w:name="Tc_ZFfo0Z4k3Uud2Z9flOTZIw_7_7"/>
      <w:bookmarkStart w:id="1256" w:name="Tc_05pFM0Z_7kOPyg7IilCBbg_7_4"/>
      <w:bookmarkStart w:id="1257" w:name="Tc_8wqowLMB-EuJqqDIakABDw_7_0"/>
      <w:bookmarkStart w:id="1258" w:name="Tc_n_ZMP9pzt0mVCXkiAnIv6g_6_2"/>
      <w:bookmarkStart w:id="1259" w:name="Tc_H-ZI2_UnkkiLQ7OWiaPMzQ_6_0"/>
      <w:bookmarkStart w:id="1260" w:name="Tc_RXyyHGi-_UilmxNPf48agQ_5_13"/>
      <w:bookmarkStart w:id="1261" w:name="Tc_yR9GT-ULckO7sd0SN48Wew_5_10"/>
      <w:bookmarkStart w:id="1262" w:name="Tc_NBFuBcudFU-_cwh54hrUYw_5_7"/>
      <w:bookmarkStart w:id="1263" w:name="Tc_UGc9Dje3GkC7qejW47mWSA_5_4"/>
      <w:bookmarkStart w:id="1264" w:name="Tc_VWM2NytNJEa91zI-OlAHtg_5_2"/>
      <w:bookmarkStart w:id="1265" w:name="Tc_Fk55yzM1U0GDoxALWcfntg_5_0"/>
      <w:bookmarkStart w:id="1266" w:name="Tc_Btrsmu0mbU6f2uHuAR3o6A_4_0"/>
      <w:bookmarkStart w:id="1267" w:name="Tc_ixMt5UZ0nEqsmky2HBvexw_3_13"/>
      <w:bookmarkStart w:id="1268" w:name="Tc_MKhP7nsR30mQvUmYbK0LbA_3_10"/>
      <w:bookmarkStart w:id="1269" w:name="Tc_jxlEw9NlBE-4KHRXFI9Ubg_3_7"/>
      <w:bookmarkStart w:id="1270" w:name="Tc_HxRuiDWCg0aN2ZgCuM5a6A_3_4"/>
      <w:bookmarkStart w:id="1271" w:name="Tc__jXkrayWM0C7WcAhfQD2TQ_3_2"/>
      <w:bookmarkStart w:id="1272" w:name="Tc_KH9a6lFRHkyDy56rpUSniw_2_10"/>
      <w:bookmarkStart w:id="1273" w:name="Tc_f0RzPaOGzUOlzK0vo30fsg_2_4"/>
      <w:bookmarkStart w:id="1274" w:name="Tc_utZxoaiePEiqU5bjOQPIlA_2_2"/>
      <w:bookmarkStart w:id="1275" w:name="Tc_sMLhuUWSI0y3gKoL-iKLZw_1_10"/>
      <w:bookmarkStart w:id="1276" w:name="Tc_36usvRAZfk20RAzjUr_qDg_1_4"/>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r>
        <w:rPr>
          <w:rFonts w:ascii="Times New Roman;Times;serif" w:hAnsi="Times New Roman;Times;serif"/>
          <w:sz w:val="20"/>
        </w:rPr>
        <w:t>the present value of the lease payments, the Company has utilized its incremental borrowing rate, which is determined based on the prevailing market rates for collateralized debt with maturity dates commensurate with the term of its lease.</w:t>
      </w:r>
    </w:p>
    <w:p>
      <w:pPr>
        <w:pStyle w:val="TextBody"/>
        <w:bidi w:val="0"/>
        <w:spacing w:lineRule="auto" w:line="285" w:before="0" w:after="0"/>
        <w:ind w:left="0" w:right="0" w:firstLine="72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Company’s obligation for the payment of base rent for the premises began on the commencement date and is initially $33,833 per month, up to monthly base rent of $47,200 during the third year of the sub-sublease. In addition to base rent, the Company is obligated to pay its proportionate share of taxes, insurance and operating expenses. In November 2024, the Company paid the sublandlord $231,235 in prepaid rent, which was applied to the monthly base rent and the Company’s proportionate share of additional expenses for the first three months of the term of the sub-sublease.</w:t>
      </w:r>
    </w:p>
    <w:p>
      <w:pPr>
        <w:pStyle w:val="TextBody"/>
        <w:bidi w:val="0"/>
        <w:spacing w:lineRule="auto" w:line="285" w:before="0" w:after="0"/>
        <w:ind w:left="0" w:right="0" w:firstLine="72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Although the non-cancellable lease term commenced on February 21, 2025, for purposes of determining the right-of-use asset balance, in accordance with ASC Topic 842, the Company used November 25, 2024 as the commencement date, the date on which the sublandlord granted the Company access to the premises. The sub-sublease is a net lease, as the non-lease components (i.e., common area maintenance) are paid separately from rent based on actual costs incurred. Therefore, the non-lease components were not included in the right-of-use asset and liability and are reflected as an expense in the period incurred.</w:t>
      </w:r>
    </w:p>
    <w:p>
      <w:pPr>
        <w:pStyle w:val="TextBody"/>
        <w:bidi w:val="0"/>
        <w:spacing w:lineRule="auto" w:line="285" w:before="0" w:after="0"/>
        <w:ind w:left="0" w:right="0" w:firstLine="72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2026 and December 31, 2025, the right-of-use asset under the operating lease was approximately $0.6 million and $0.8 million, respectively. The elements of lease expense under the operating lease for the three and nine months ended September 30, 2026 and 2025 were as follows (in thousands):</w:t>
      </w:r>
    </w:p>
    <w:p>
      <w:pPr>
        <w:pStyle w:val="TextBody"/>
        <w:bidi w:val="0"/>
        <w:spacing w:lineRule="auto" w:line="285"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3119"/>
        <w:gridCol w:w="346"/>
        <w:gridCol w:w="1718"/>
        <w:gridCol w:w="346"/>
        <w:gridCol w:w="211"/>
        <w:gridCol w:w="650"/>
        <w:gridCol w:w="346"/>
        <w:gridCol w:w="211"/>
        <w:gridCol w:w="650"/>
        <w:gridCol w:w="346"/>
        <w:gridCol w:w="211"/>
        <w:gridCol w:w="650"/>
        <w:gridCol w:w="346"/>
        <w:gridCol w:w="211"/>
        <w:gridCol w:w="650"/>
        <w:gridCol w:w="194"/>
      </w:tblGrid>
      <w:tr>
        <w:tc>
          <w:tcPr>
            <w:tcW w:w="3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980565" cy="175260"/>
                      <wp:effectExtent l="0" t="0" r="0" b="0"/>
                      <wp:wrapNone/>
                      <wp:docPr id="231" name="Frame231"/>
                      <a:graphic xmlns:a="http://schemas.openxmlformats.org/drawingml/2006/main">
                        <a:graphicData uri="http://schemas.microsoft.com/office/word/2010/wordprocessingShape">
                          <wps:wsp>
                            <wps:cNvSpPr txBox="1"/>
                            <wps:spPr>
                              <a:xfrm>
                                <a:off x="0" y="0"/>
                                <a:ext cx="198056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090930" cy="175260"/>
                      <wp:effectExtent l="0" t="0" r="0" b="0"/>
                      <wp:wrapNone/>
                      <wp:docPr id="233" name="Frame233"/>
                      <a:graphic xmlns:a="http://schemas.openxmlformats.org/drawingml/2006/main">
                        <a:graphicData uri="http://schemas.microsoft.com/office/word/2010/wordprocessingShape">
                          <wps:wsp>
                            <wps:cNvSpPr txBox="1"/>
                            <wps:spPr>
                              <a:xfrm>
                                <a:off x="0" y="0"/>
                                <a:ext cx="109093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35"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12750" cy="175260"/>
                      <wp:effectExtent l="0" t="0" r="0" b="0"/>
                      <wp:wrapNone/>
                      <wp:docPr id="236" name="Frame236"/>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38"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12750" cy="175260"/>
                      <wp:effectExtent l="0" t="0" r="0" b="0"/>
                      <wp:wrapNone/>
                      <wp:docPr id="239" name="Frame239"/>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12750" cy="175260"/>
                      <wp:effectExtent l="0" t="0" r="0" b="0"/>
                      <wp:wrapNone/>
                      <wp:docPr id="242" name="Frame242"/>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12750" cy="175260"/>
                      <wp:effectExtent l="0" t="0" r="0" b="0"/>
                      <wp:wrapNone/>
                      <wp:docPr id="245" name="Frame245"/>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23190" cy="175260"/>
                      <wp:effectExtent l="0" t="0" r="0" b="0"/>
                      <wp:wrapNone/>
                      <wp:docPr id="246" name="Frame246"/>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3119"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1718"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206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left"/>
            </w:pPr>
            <w:r>
              <w:t>​</w:t>
            </w:r>
          </w:p>
        </w:tc>
        <w:tc>
          <w:tcPr>
            <w:tcW w:w="206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94" w:type="dxa"/>
            <w:tcBorders/>
            <w:vAlign w:val="center"/>
          </w:tcPr>
          <w:p>
            <w:pPr>
              <w:pStyle w:val="TableContents"/>
              <w:bidi w:val="0"/>
              <w:spacing w:lineRule="auto" w:line="285" w:before="0" w:after="0"/>
              <w:ind w:left="0" w:right="0" w:hanging="0"/>
              <w:jc w:val="center"/>
            </w:pPr>
            <w:r>
              <w:t> </w:t>
            </w:r>
          </w:p>
        </w:tc>
      </w:tr>
      <w:tr>
        <w:tc>
          <w:tcPr>
            <w:tcW w:w="3119"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  ​ ​ ​</w:t>
            </w:r>
          </w:p>
        </w:tc>
        <w:tc>
          <w:tcPr>
            <w:tcW w:w="1718"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Statements of operations and</w:t>
            </w:r>
          </w:p>
        </w:tc>
        <w:tc>
          <w:tcPr>
            <w:tcW w:w="346" w:type="dxa"/>
            <w:tcBorders/>
            <w:vAlign w:val="center"/>
          </w:tcPr>
          <w:p>
            <w:pPr>
              <w:pStyle w:val="TableContents"/>
              <w:bidi w:val="0"/>
              <w:spacing w:lineRule="auto" w:line="285" w:before="0" w:after="0"/>
              <w:ind w:left="0" w:right="0" w:hanging="0"/>
              <w:jc w:val="left"/>
            </w:pPr>
            <w:r>
              <w:t>  ​ ​ ​</w:t>
            </w:r>
          </w:p>
        </w:tc>
        <w:tc>
          <w:tcPr>
            <w:tcW w:w="206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lineRule="auto" w:line="285" w:before="0" w:after="0"/>
              <w:ind w:left="0" w:right="0" w:hanging="0"/>
              <w:jc w:val="left"/>
            </w:pPr>
            <w:r>
              <w:t>​</w:t>
            </w:r>
          </w:p>
        </w:tc>
        <w:tc>
          <w:tcPr>
            <w:tcW w:w="206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94" w:type="dxa"/>
            <w:tcBorders/>
            <w:vAlign w:val="center"/>
          </w:tcPr>
          <w:p>
            <w:pPr>
              <w:pStyle w:val="TableContents"/>
              <w:bidi w:val="0"/>
              <w:spacing w:lineRule="auto" w:line="285" w:before="0" w:after="0"/>
              <w:ind w:left="0" w:right="0" w:hanging="0"/>
              <w:jc w:val="center"/>
            </w:pPr>
            <w:r>
              <w:t> </w:t>
            </w:r>
          </w:p>
        </w:tc>
      </w:tr>
      <w:tr>
        <w:tc>
          <w:tcPr>
            <w:tcW w:w="3119"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1718"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comprehensive loss location</w:t>
            </w:r>
          </w:p>
        </w:tc>
        <w:tc>
          <w:tcPr>
            <w:tcW w:w="346" w:type="dxa"/>
            <w:tcBorders/>
            <w:vAlign w:val="center"/>
          </w:tcPr>
          <w:p>
            <w:pPr>
              <w:pStyle w:val="TableContents"/>
              <w:bidi w:val="0"/>
              <w:spacing w:lineRule="auto" w:line="285" w:before="0" w:after="0"/>
              <w:ind w:left="0" w:right="0" w:hanging="0"/>
              <w:jc w:val="left"/>
            </w:pPr>
            <w:r>
              <w:t>​</w:t>
            </w:r>
          </w:p>
        </w:tc>
        <w:tc>
          <w:tcPr>
            <w:tcW w:w="86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pPr>
            <w:r>
              <w:t>  ​ ​ ​</w:t>
            </w:r>
          </w:p>
        </w:tc>
        <w:tc>
          <w:tcPr>
            <w:tcW w:w="86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pPr>
            <w:r>
              <w:t>  ​ ​ ​</w:t>
            </w:r>
          </w:p>
        </w:tc>
        <w:tc>
          <w:tcPr>
            <w:tcW w:w="86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pPr>
            <w:r>
              <w:t>  ​ ​ ​</w:t>
            </w:r>
          </w:p>
        </w:tc>
        <w:tc>
          <w:tcPr>
            <w:tcW w:w="86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4" w:type="dxa"/>
            <w:tcBorders/>
            <w:vAlign w:val="center"/>
          </w:tcPr>
          <w:p>
            <w:pPr>
              <w:pStyle w:val="TableContents"/>
              <w:bidi w:val="0"/>
              <w:spacing w:lineRule="auto" w:line="285" w:before="0" w:after="0"/>
              <w:ind w:left="0" w:right="0" w:hanging="0"/>
              <w:jc w:val="center"/>
            </w:pPr>
            <w:r>
              <w:t>​</w:t>
            </w:r>
          </w:p>
        </w:tc>
      </w:tr>
      <w:tr>
        <w:tc>
          <w:tcPr>
            <w:tcW w:w="311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Costs of operating lease</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718" w:type="dxa"/>
            <w:tcBorders/>
            <w:shd w:fill="CCEEFF" w:val="clear"/>
            <w:vAlign w:val="center"/>
          </w:tcPr>
          <w:p>
            <w:pPr>
              <w:pStyle w:val="TableContents"/>
              <w:bidi w:val="0"/>
              <w:spacing w:lineRule="auto" w:line="285" w:before="0" w:after="0"/>
              <w:ind w:left="0" w:right="0" w:hanging="0"/>
              <w:jc w:val="lef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center"/>
            </w:pPr>
            <w:r>
              <w:t>​</w:t>
            </w:r>
          </w:p>
        </w:tc>
        <w:tc>
          <w:tcPr>
            <w:tcW w:w="650" w:type="dxa"/>
            <w:tcBorders/>
            <w:shd w:fill="CCEEFF" w:val="clear"/>
            <w:vAlign w:val="center"/>
          </w:tcPr>
          <w:p>
            <w:pPr>
              <w:pStyle w:val="TableContents"/>
              <w:bidi w:val="0"/>
              <w:spacing w:lineRule="auto" w:line="285" w:before="0" w:after="0"/>
              <w:ind w:left="0" w:right="0" w:hanging="0"/>
              <w:jc w:val="center"/>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center"/>
            </w:pPr>
            <w:r>
              <w:t>​</w:t>
            </w:r>
          </w:p>
        </w:tc>
        <w:tc>
          <w:tcPr>
            <w:tcW w:w="650" w:type="dxa"/>
            <w:tcBorders/>
            <w:shd w:fill="CCEEFF" w:val="clear"/>
            <w:vAlign w:val="center"/>
          </w:tcPr>
          <w:p>
            <w:pPr>
              <w:pStyle w:val="TableContents"/>
              <w:bidi w:val="0"/>
              <w:spacing w:lineRule="auto" w:line="285" w:before="0" w:after="0"/>
              <w:ind w:left="0" w:right="0" w:hanging="0"/>
              <w:jc w:val="center"/>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center"/>
            </w:pPr>
            <w:r>
              <w:t>​</w:t>
            </w:r>
          </w:p>
        </w:tc>
        <w:tc>
          <w:tcPr>
            <w:tcW w:w="650" w:type="dxa"/>
            <w:tcBorders/>
            <w:shd w:fill="CCEEFF" w:val="clear"/>
            <w:vAlign w:val="center"/>
          </w:tcPr>
          <w:p>
            <w:pPr>
              <w:pStyle w:val="TableContents"/>
              <w:bidi w:val="0"/>
              <w:spacing w:lineRule="auto" w:line="285" w:before="0" w:after="0"/>
              <w:ind w:left="0" w:right="0" w:hanging="0"/>
              <w:jc w:val="center"/>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center"/>
            </w:pPr>
            <w:r>
              <w:t>​</w:t>
            </w:r>
          </w:p>
        </w:tc>
        <w:tc>
          <w:tcPr>
            <w:tcW w:w="650" w:type="dxa"/>
            <w:tcBorders/>
            <w:shd w:fill="CCEEFF" w:val="clear"/>
            <w:vAlign w:val="center"/>
          </w:tcPr>
          <w:p>
            <w:pPr>
              <w:pStyle w:val="TableContents"/>
              <w:bidi w:val="0"/>
              <w:spacing w:lineRule="auto" w:line="285" w:before="0" w:after="0"/>
              <w:ind w:left="0" w:right="0" w:hanging="0"/>
              <w:jc w:val="center"/>
            </w:pPr>
            <w:r>
              <w:t>​</w:t>
            </w:r>
          </w:p>
        </w:tc>
        <w:tc>
          <w:tcPr>
            <w:tcW w:w="194" w:type="dxa"/>
            <w:tcBorders/>
            <w:shd w:fill="CCEEFF" w:val="clear"/>
            <w:vAlign w:val="center"/>
          </w:tcPr>
          <w:p>
            <w:pPr>
              <w:pStyle w:val="TableContents"/>
              <w:bidi w:val="0"/>
              <w:spacing w:lineRule="auto" w:line="285" w:before="0" w:after="0"/>
              <w:ind w:left="0" w:right="0" w:hanging="0"/>
              <w:jc w:val="center"/>
            </w:pPr>
            <w:r>
              <w:t>​</w:t>
            </w:r>
          </w:p>
        </w:tc>
      </w:tr>
      <w:tr>
        <w:tc>
          <w:tcPr>
            <w:tcW w:w="311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costs</w:t>
            </w:r>
          </w:p>
        </w:tc>
        <w:tc>
          <w:tcPr>
            <w:tcW w:w="346" w:type="dxa"/>
            <w:tcBorders/>
            <w:vAlign w:val="center"/>
          </w:tcPr>
          <w:p>
            <w:pPr>
              <w:pStyle w:val="TableContents"/>
              <w:bidi w:val="0"/>
              <w:spacing w:lineRule="auto" w:line="285" w:before="0" w:after="0"/>
              <w:ind w:left="0" w:right="0" w:hanging="0"/>
              <w:jc w:val="left"/>
            </w:pPr>
            <w:r>
              <w:t>​</w:t>
            </w:r>
          </w:p>
        </w:tc>
        <w:tc>
          <w:tcPr>
            <w:tcW w:w="171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br/>
              <w:t>General and administrative</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194" w:type="dxa"/>
            <w:tcBorders/>
            <w:vAlign w:val="center"/>
          </w:tcPr>
          <w:p>
            <w:pPr>
              <w:pStyle w:val="TableContents"/>
              <w:bidi w:val="0"/>
              <w:spacing w:lineRule="auto" w:line="285" w:before="0" w:after="0"/>
              <w:ind w:left="0" w:right="0" w:hanging="0"/>
              <w:jc w:val="center"/>
            </w:pPr>
            <w:r>
              <w:t>​</w:t>
            </w:r>
          </w:p>
        </w:tc>
      </w:tr>
      <w:tr>
        <w:tc>
          <w:tcPr>
            <w:tcW w:w="311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Costs of non-lease components (previously common area maintenance)</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71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br/>
              <w:t>General and administrative</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6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6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6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6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194" w:type="dxa"/>
            <w:tcBorders/>
            <w:shd w:fill="CCEEFF" w:val="clear"/>
            <w:vAlign w:val="center"/>
          </w:tcPr>
          <w:p>
            <w:pPr>
              <w:pStyle w:val="TableContents"/>
              <w:bidi w:val="0"/>
              <w:spacing w:lineRule="auto" w:line="285" w:before="0" w:after="0"/>
              <w:ind w:left="0" w:right="0" w:hanging="0"/>
              <w:jc w:val="left"/>
            </w:pPr>
            <w:r>
              <w:t>​</w:t>
            </w:r>
          </w:p>
        </w:tc>
      </w:tr>
      <w:tr>
        <w:tc>
          <w:tcPr>
            <w:tcW w:w="311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lease cost</w:t>
            </w:r>
          </w:p>
        </w:tc>
        <w:tc>
          <w:tcPr>
            <w:tcW w:w="346" w:type="dxa"/>
            <w:tcBorders/>
            <w:vAlign w:val="center"/>
          </w:tcPr>
          <w:p>
            <w:pPr>
              <w:pStyle w:val="TableContents"/>
              <w:bidi w:val="0"/>
              <w:spacing w:lineRule="auto" w:line="285" w:before="0" w:after="0"/>
              <w:ind w:left="0" w:right="0" w:hanging="0"/>
              <w:jc w:val="left"/>
            </w:pPr>
            <w:r>
              <w:t>​</w:t>
            </w:r>
          </w:p>
        </w:tc>
        <w:tc>
          <w:tcPr>
            <w:tcW w:w="1718"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194" w:type="dxa"/>
            <w:tcBorders/>
            <w:vAlign w:val="center"/>
          </w:tcPr>
          <w:p>
            <w:pPr>
              <w:pStyle w:val="TableContents"/>
              <w:bidi w:val="0"/>
              <w:spacing w:lineRule="auto" w:line="285" w:before="0" w:after="0"/>
              <w:ind w:left="0" w:right="0" w:hanging="0"/>
              <w:jc w:val="left"/>
            </w:pPr>
            <w:r>
              <w:t>​</w:t>
            </w:r>
          </w:p>
        </w:tc>
      </w:tr>
      <w:tr>
        <w:tc>
          <w:tcPr>
            <w:tcW w:w="311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718" w:type="dxa"/>
            <w:tcBorders/>
            <w:shd w:fill="CCEEFF" w:val="clear"/>
            <w:vAlign w:val="center"/>
          </w:tcPr>
          <w:p>
            <w:pPr>
              <w:pStyle w:val="TableContents"/>
              <w:bidi w:val="0"/>
              <w:spacing w:lineRule="auto" w:line="285" w:before="0" w:after="0"/>
              <w:ind w:left="0" w:right="0" w:hanging="0"/>
              <w:jc w:val="lef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650" w:type="dxa"/>
            <w:tcBorders/>
            <w:shd w:fill="CCEEFF" w:val="clear"/>
            <w:vAlign w:val="center"/>
          </w:tcPr>
          <w:p>
            <w:pPr>
              <w:pStyle w:val="TableContents"/>
              <w:bidi w:val="0"/>
              <w:spacing w:lineRule="auto" w:line="285" w:before="0" w:after="0"/>
              <w:ind w:left="0" w:right="0" w:hanging="0"/>
              <w:jc w:val="center"/>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650" w:type="dxa"/>
            <w:tcBorders/>
            <w:shd w:fill="CCEEFF" w:val="clear"/>
            <w:vAlign w:val="center"/>
          </w:tcPr>
          <w:p>
            <w:pPr>
              <w:pStyle w:val="TableContents"/>
              <w:bidi w:val="0"/>
              <w:spacing w:lineRule="auto" w:line="285" w:before="0" w:after="0"/>
              <w:ind w:left="0" w:right="0" w:hanging="0"/>
              <w:jc w:val="center"/>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650"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650" w:type="dxa"/>
            <w:tcBorders/>
            <w:shd w:fill="CCEEFF" w:val="clear"/>
            <w:vAlign w:val="center"/>
          </w:tcPr>
          <w:p>
            <w:pPr>
              <w:pStyle w:val="TableContents"/>
              <w:bidi w:val="0"/>
              <w:spacing w:lineRule="auto" w:line="285" w:before="0" w:after="0"/>
              <w:ind w:left="0" w:right="0" w:hanging="0"/>
              <w:jc w:val="center"/>
            </w:pPr>
            <w:r>
              <w:t>​</w:t>
            </w:r>
          </w:p>
        </w:tc>
        <w:tc>
          <w:tcPr>
            <w:tcW w:w="194" w:type="dxa"/>
            <w:tcBorders/>
            <w:shd w:fill="CCEEFF" w:val="clear"/>
            <w:vAlign w:val="center"/>
          </w:tcPr>
          <w:p>
            <w:pPr>
              <w:pStyle w:val="TableContents"/>
              <w:bidi w:val="0"/>
              <w:spacing w:lineRule="auto" w:line="285" w:before="0" w:after="0"/>
              <w:ind w:left="0" w:right="0" w:hanging="0"/>
              <w:jc w:val="center"/>
            </w:pPr>
            <w:r>
              <w:t> </w:t>
            </w:r>
          </w:p>
        </w:tc>
      </w:tr>
      <w:tr>
        <w:tc>
          <w:tcPr>
            <w:tcW w:w="311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cash flows used for operating lease</w:t>
            </w:r>
          </w:p>
        </w:tc>
        <w:tc>
          <w:tcPr>
            <w:tcW w:w="346" w:type="dxa"/>
            <w:tcBorders/>
            <w:vAlign w:val="center"/>
          </w:tcPr>
          <w:p>
            <w:pPr>
              <w:pStyle w:val="TableContents"/>
              <w:bidi w:val="0"/>
              <w:spacing w:lineRule="auto" w:line="285" w:before="0" w:after="0"/>
              <w:ind w:left="0" w:right="0" w:hanging="0"/>
              <w:jc w:val="left"/>
            </w:pPr>
            <w:r>
              <w:t>​</w:t>
            </w:r>
          </w:p>
        </w:tc>
        <w:tc>
          <w:tcPr>
            <w:tcW w:w="1718"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562</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194" w:type="dxa"/>
            <w:tcBorders/>
            <w:vAlign w:val="center"/>
          </w:tcPr>
          <w:p>
            <w:pPr>
              <w:pStyle w:val="TableContents"/>
              <w:bidi w:val="0"/>
              <w:spacing w:lineRule="auto" w:line="285" w:before="0" w:after="0"/>
              <w:ind w:left="0" w:right="0" w:hanging="0"/>
              <w:jc w:val="left"/>
            </w:pPr>
            <w:r>
              <w:t>​</w:t>
            </w:r>
          </w:p>
        </w:tc>
      </w:tr>
      <w:tr>
        <w:tc>
          <w:tcPr>
            <w:tcW w:w="311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Remaining lease term</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718" w:type="dxa"/>
            <w:tcBorders/>
            <w:shd w:fill="CCEEFF" w:val="clear"/>
            <w:vAlign w:val="center"/>
          </w:tcPr>
          <w:p>
            <w:pPr>
              <w:pStyle w:val="TableContents"/>
              <w:bidi w:val="0"/>
              <w:spacing w:lineRule="auto" w:line="285" w:before="0" w:after="0"/>
              <w:ind w:left="0" w:right="0" w:hanging="0"/>
              <w:jc w:val="lef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6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 years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6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 years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6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 years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6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 years</w:t>
            </w:r>
          </w:p>
        </w:tc>
        <w:tc>
          <w:tcPr>
            <w:tcW w:w="194" w:type="dxa"/>
            <w:tcBorders/>
            <w:shd w:fill="CCEEFF" w:val="clear"/>
            <w:vAlign w:val="center"/>
          </w:tcPr>
          <w:p>
            <w:pPr>
              <w:pStyle w:val="TableContents"/>
              <w:bidi w:val="0"/>
              <w:spacing w:lineRule="auto" w:line="285" w:before="0" w:after="0"/>
              <w:ind w:left="0" w:right="0" w:hanging="0"/>
              <w:jc w:val="left"/>
            </w:pPr>
            <w:r>
              <w:t>​</w:t>
            </w:r>
          </w:p>
        </w:tc>
      </w:tr>
      <w:tr>
        <w:tc>
          <w:tcPr>
            <w:tcW w:w="311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46" w:type="dxa"/>
            <w:tcBorders/>
            <w:vAlign w:val="center"/>
          </w:tcPr>
          <w:p>
            <w:pPr>
              <w:pStyle w:val="TableContents"/>
              <w:bidi w:val="0"/>
              <w:spacing w:lineRule="auto" w:line="285" w:before="0" w:after="0"/>
              <w:ind w:left="0" w:right="0" w:hanging="0"/>
              <w:jc w:val="left"/>
            </w:pPr>
            <w:r>
              <w:t>​</w:t>
            </w:r>
          </w:p>
        </w:tc>
        <w:tc>
          <w:tcPr>
            <w:tcW w:w="1718"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194" w:type="dxa"/>
            <w:tcBorders/>
            <w:vAlign w:val="center"/>
          </w:tcPr>
          <w:p>
            <w:pPr>
              <w:pStyle w:val="TableContents"/>
              <w:bidi w:val="0"/>
              <w:spacing w:lineRule="auto" w:line="285" w:before="0" w:after="0"/>
              <w:ind w:left="0" w:right="0" w:hanging="0"/>
              <w:jc w:val="left"/>
            </w:pPr>
            <w:r>
              <w:t>​</w:t>
            </w:r>
          </w:p>
        </w:tc>
      </w:tr>
    </w:tbl>
    <w:p>
      <w:pPr>
        <w:pStyle w:val="TextBody"/>
        <w:bidi w:val="0"/>
        <w:spacing w:lineRule="auto" w:line="285" w:before="0" w:after="0"/>
        <w:ind w:left="0" w:right="0" w:hanging="0"/>
        <w:jc w:val="left"/>
      </w:pPr>
      <w:r>
        <w:t>​</w:t>
      </w:r>
    </w:p>
    <w:p>
      <w:pPr>
        <w:pStyle w:val="TextBody"/>
        <w:bidi w:val="0"/>
        <w:spacing w:lineRule="auto" w:line="285" w:before="240" w:after="0"/>
        <w:ind w:left="0" w:right="0" w:firstLine="720"/>
        <w:jc w:val="left"/>
        <w:rPr>
          <w:rFonts w:ascii="Times New Roman;Times;serif" w:hAnsi="Times New Roman;Times;serif"/>
          <w:sz w:val="20"/>
        </w:rPr>
      </w:pPr>
      <w:r>
        <w:rPr>
          <w:rFonts w:ascii="Times New Roman;Times;serif" w:hAnsi="Times New Roman;Times;serif"/>
          <w:sz w:val="20"/>
        </w:rPr>
        <w:t>As of September 30, 2026, minimum rental commitments under this lease were as follows (in thousands):</w:t>
      </w:r>
    </w:p>
    <w:p>
      <w:pPr>
        <w:pStyle w:val="TextBody"/>
        <w:bidi w:val="0"/>
        <w:spacing w:lineRule="auto" w:line="285" w:before="0" w:after="0"/>
        <w:ind w:left="0" w:right="0" w:hanging="0"/>
        <w:jc w:val="left"/>
      </w:pPr>
      <w:r>
        <w:t>​</w:t>
      </w:r>
    </w:p>
    <w:tbl>
      <w:tblPr>
        <w:tblW w:w="4114" w:type="dxa"/>
        <w:jc w:val="left"/>
        <w:tblInd w:w="0" w:type="dxa"/>
        <w:tblLayout w:type="fixed"/>
        <w:tblCellMar>
          <w:top w:w="0" w:type="dxa"/>
          <w:left w:w="0" w:type="dxa"/>
          <w:bottom w:w="0" w:type="dxa"/>
          <w:right w:w="0" w:type="dxa"/>
        </w:tblCellMar>
      </w:tblPr>
      <w:tblGrid>
        <w:gridCol w:w="3031"/>
        <w:gridCol w:w="346"/>
        <w:gridCol w:w="211"/>
        <w:gridCol w:w="526"/>
      </w:tblGrid>
      <w:t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924685" cy="175260"/>
                      <wp:effectExtent l="0" t="0" r="0" b="0"/>
                      <wp:wrapNone/>
                      <wp:docPr id="247" name="Frame247"/>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49"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34010" cy="175260"/>
                      <wp:effectExtent l="0" t="0" r="0" b="0"/>
                      <wp:wrapNone/>
                      <wp:docPr id="250" name="Frame25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30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Year Ended December 31 (in thousands)</w:t>
            </w:r>
          </w:p>
        </w:tc>
        <w:tc>
          <w:tcPr>
            <w:tcW w:w="346" w:type="dxa"/>
            <w:tcBorders/>
            <w:vAlign w:val="center"/>
          </w:tcPr>
          <w:p>
            <w:pPr>
              <w:pStyle w:val="TableContents"/>
              <w:bidi w:val="0"/>
              <w:spacing w:lineRule="auto" w:line="285" w:before="0" w:after="0"/>
              <w:ind w:left="0" w:right="0" w:hanging="0"/>
              <w:jc w:val="left"/>
            </w:pPr>
            <w:r>
              <w:t>  ​ ​ ​</w:t>
            </w:r>
          </w:p>
        </w:tc>
        <w:tc>
          <w:tcPr>
            <w:tcW w:w="211" w:type="dxa"/>
            <w:tcBorders/>
            <w:vAlign w:val="center"/>
          </w:tcPr>
          <w:p>
            <w:pPr>
              <w:pStyle w:val="TableContents"/>
              <w:bidi w:val="0"/>
              <w:spacing w:lineRule="auto" w:line="285" w:before="0" w:after="0"/>
              <w:ind w:left="0" w:right="0" w:hanging="0"/>
              <w:jc w:val="left"/>
            </w:pPr>
            <w:r>
              <w:t>​</w:t>
            </w:r>
          </w:p>
        </w:tc>
        <w:tc>
          <w:tcPr>
            <w:tcW w:w="526" w:type="dxa"/>
            <w:tcBorders/>
            <w:vAlign w:val="center"/>
          </w:tcPr>
          <w:p>
            <w:pPr>
              <w:pStyle w:val="TableContents"/>
              <w:bidi w:val="0"/>
              <w:spacing w:lineRule="auto" w:line="285" w:before="0" w:after="0"/>
              <w:ind w:left="0" w:right="0" w:hanging="0"/>
              <w:jc w:val="center"/>
            </w:pPr>
            <w:r>
              <w:t>​</w:t>
            </w:r>
          </w:p>
        </w:tc>
      </w:tr>
      <w:tr>
        <w:tc>
          <w:tcPr>
            <w:tcW w:w="30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c>
          <w:tcPr>
            <w:tcW w:w="30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5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566</w:t>
            </w:r>
          </w:p>
        </w:tc>
      </w:tr>
      <w:tr>
        <w:tc>
          <w:tcPr>
            <w:tcW w:w="30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5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681</w:t>
            </w:r>
          </w:p>
        </w:tc>
      </w:tr>
      <w:tr>
        <w:tc>
          <w:tcPr>
            <w:tcW w:w="30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5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c>
          <w:tcPr>
            <w:tcW w:w="30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632</w:t>
            </w:r>
          </w:p>
        </w:tc>
      </w:tr>
    </w:tbl>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Remainder of the year</w:t>
      </w:r>
    </w:p>
    <w:p>
      <w:pPr>
        <w:pStyle w:val="TextBody"/>
        <w:bidi w:val="0"/>
        <w:spacing w:lineRule="auto" w:line="285" w:before="0" w:after="0"/>
        <w:ind w:left="0" w:right="0" w:hanging="0"/>
        <w:jc w:val="left"/>
      </w:pPr>
      <w: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bookmarkStart w:id="1277" w:name="Tc_hZd3dw_mP0isVWNW1LGAZA_6_2"/>
      <w:bookmarkStart w:id="1278" w:name="Tc_t6zvuejg1kqAp-1JXxXkJw_6_0"/>
      <w:bookmarkStart w:id="1279" w:name="Tc_h1JSnfhPLUyYNF0xGD3XlQ_5_0"/>
      <w:bookmarkStart w:id="1280" w:name="Tc_3Ir9tm7X3E-RV7sqgcZvOA_4_0"/>
      <w:bookmarkStart w:id="1281" w:name="Tc_rCV_eemAb0Kuc_BPrNstmQ_3_0"/>
      <w:bookmarkStart w:id="1282" w:name="Tc_QWQ5T6ina02tb43y8vWwgw_2_2"/>
      <w:bookmarkStart w:id="1283" w:name="Tc_Im8bmAuDHU6nTgJH3Gq1Pw_2_0"/>
      <w:bookmarkStart w:id="1284" w:name="Tc_Jq6LXBNjOUu3iuMhxm-sOw_1_0"/>
      <w:bookmarkStart w:id="1285" w:name="_5f7408f4_6261_4710_bd00_c7272d1be5c5"/>
      <w:bookmarkEnd w:id="1277"/>
      <w:bookmarkEnd w:id="1278"/>
      <w:bookmarkEnd w:id="1279"/>
      <w:bookmarkEnd w:id="1280"/>
      <w:bookmarkEnd w:id="1281"/>
      <w:bookmarkEnd w:id="1282"/>
      <w:bookmarkEnd w:id="1283"/>
      <w:bookmarkEnd w:id="1284"/>
      <w:bookmarkEnd w:id="1285"/>
      <w:r>
        <w:rPr>
          <w:rFonts w:ascii="Times New Roman;Times;serif" w:hAnsi="Times New Roman;Times;serif"/>
          <w:sz w:val="20"/>
        </w:rPr>
        <w:t>As of December 31, 2025, minimum rental commitments under this lease were as follows (in thousands):</w:t>
      </w:r>
    </w:p>
    <w:p>
      <w:pPr>
        <w:pStyle w:val="TextBody"/>
        <w:bidi w:val="0"/>
        <w:spacing w:lineRule="auto" w:line="285" w:before="0" w:after="0"/>
        <w:ind w:left="0" w:right="0" w:hanging="0"/>
        <w:jc w:val="left"/>
      </w:pPr>
      <w:r>
        <w:t>​</w:t>
      </w:r>
    </w:p>
    <w:tbl>
      <w:tblPr>
        <w:tblW w:w="4204" w:type="dxa"/>
        <w:jc w:val="left"/>
        <w:tblInd w:w="0" w:type="dxa"/>
        <w:tblLayout w:type="fixed"/>
        <w:tblCellMar>
          <w:top w:w="0" w:type="dxa"/>
          <w:left w:w="0" w:type="dxa"/>
          <w:bottom w:w="0" w:type="dxa"/>
          <w:right w:w="0" w:type="dxa"/>
        </w:tblCellMar>
      </w:tblPr>
      <w:tblGrid>
        <w:gridCol w:w="3031"/>
        <w:gridCol w:w="346"/>
        <w:gridCol w:w="211"/>
        <w:gridCol w:w="616"/>
      </w:tblGrid>
      <w:t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924685" cy="175260"/>
                      <wp:effectExtent l="0" t="0" r="0" b="0"/>
                      <wp:wrapNone/>
                      <wp:docPr id="251" name="Frame251"/>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3"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91160" cy="175260"/>
                      <wp:effectExtent l="0" t="0" r="0" b="0"/>
                      <wp:wrapNone/>
                      <wp:docPr id="254" name="Frame25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30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Year Ended December 31 (in thousands)</w:t>
            </w:r>
          </w:p>
        </w:tc>
        <w:tc>
          <w:tcPr>
            <w:tcW w:w="346" w:type="dxa"/>
            <w:tcBorders/>
            <w:vAlign w:val="center"/>
          </w:tcPr>
          <w:p>
            <w:pPr>
              <w:pStyle w:val="TableContents"/>
              <w:bidi w:val="0"/>
              <w:spacing w:lineRule="auto" w:line="285" w:before="0" w:after="0"/>
              <w:ind w:left="0" w:right="0" w:hanging="0"/>
              <w:jc w:val="left"/>
            </w:pPr>
            <w:r>
              <w:t>  ​ ​ ​</w:t>
            </w:r>
          </w:p>
        </w:tc>
        <w:tc>
          <w:tcPr>
            <w:tcW w:w="211" w:type="dxa"/>
            <w:tcBorders/>
            <w:vAlign w:val="center"/>
          </w:tcPr>
          <w:p>
            <w:pPr>
              <w:pStyle w:val="TableContents"/>
              <w:bidi w:val="0"/>
              <w:spacing w:lineRule="auto" w:line="285" w:before="0" w:after="0"/>
              <w:ind w:left="0" w:right="0" w:hanging="0"/>
              <w:jc w:val="left"/>
            </w:pPr>
            <w:r>
              <w:t>​</w:t>
            </w:r>
          </w:p>
        </w:tc>
        <w:tc>
          <w:tcPr>
            <w:tcW w:w="616" w:type="dxa"/>
            <w:tcBorders/>
            <w:vAlign w:val="center"/>
          </w:tcPr>
          <w:p>
            <w:pPr>
              <w:pStyle w:val="TableContents"/>
              <w:bidi w:val="0"/>
              <w:spacing w:lineRule="auto" w:line="285" w:before="0" w:after="0"/>
              <w:ind w:left="0" w:right="0" w:hanging="0"/>
              <w:jc w:val="center"/>
            </w:pPr>
            <w:r>
              <w:t>​</w:t>
            </w:r>
          </w:p>
        </w:tc>
      </w:tr>
      <w:tr>
        <w:tc>
          <w:tcPr>
            <w:tcW w:w="30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486</w:t>
            </w:r>
          </w:p>
        </w:tc>
      </w:tr>
      <w:tr>
        <w:tc>
          <w:tcPr>
            <w:tcW w:w="30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6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566</w:t>
            </w:r>
          </w:p>
        </w:tc>
      </w:tr>
      <w:tr>
        <w:tc>
          <w:tcPr>
            <w:tcW w:w="30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6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1,052</w:t>
            </w:r>
          </w:p>
        </w:tc>
      </w:tr>
      <w:tr>
        <w:tc>
          <w:tcPr>
            <w:tcW w:w="30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6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c>
          <w:tcPr>
            <w:tcW w:w="30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937</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pPr>
      <w: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15. Commitments and Contingencies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Pursuant to the Company’s license agreements with each of Vernalis, Scripps and Monash, it has obligations to make future milestone and royalty payments to the respective parties. However, because these amounts are contingent, they have not been included on the Company’s balance sheet. For further discussion of the Vernalis, Scripps and Monash licensing agreements, see Note 7, “License and Collaboration Agreements.”</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Indemnifications</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law. There have been no claims to date and the Company has a directors and officers insurance policy that may enable it to recover a portion of any amounts paid for future claims.</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is not a party to any material legal proceedings.</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16. Related Party Transactions</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part of the January 2026 follow-on public offering, 30,000 shares of common stock, at the public offering price of $22.15 per share, were sold to Puissance Capital Management, a related party. Ted Wang, Ph.D., a Co-Founder, General Manager and Director of Angel Pharmaceuticals, of which the Company holds a 49% ownership interest, is the founder of Puissance Capital Management.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May 6, 2024, the Company closed a registered direct offering which resulted in gross proceeds of approximately $30.6 million. The financing consisted of the sale of 13,512,699 shares of common stock and accompanying common stock warrants to purchase 13,078,509 shares of common stock (or pre-funded warrants in lieu thereof) at a combined offering price of $1.7312 per share, and the sale of pre-funded warrants to purchase 4,144,085 shares of common stock and accompanying common warrants to purchase 4,010,927 shares of common stock (or pre-funded warrants in lieu thereof) at a combined offering price of $1.7311 per share. The common warrants had an exercise price of $3.50 per share of common stock (or $3.4999 per pre-funded warrant in lieu thereof), are exercisable at any time after the date of issuance, subject to certain ownership limitations, and expired on June 30, 2025. The pre-funded warrants have an exercise price of $0.0001 and are exercisable anytime after the date of the issuance, subject to certain ownership limitations.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1286" w:name="Tc_5FdGFyKxv0aRxbvRIZ1Hzg_8_0"/>
      <w:bookmarkStart w:id="1287" w:name="Tc_LETHpCMhNEm5_vHWuCOWBQ_7_0"/>
      <w:bookmarkStart w:id="1288" w:name="Tc_DHESy_WAEkOOKuVtkztIvQ_6_0"/>
      <w:bookmarkStart w:id="1289" w:name="Tc_yoyVm39BK0yxK6197Xb6-w_5_9"/>
      <w:bookmarkStart w:id="1290" w:name="Tc_RvFJwSPCskaetedodtWBPw_5_8"/>
      <w:bookmarkStart w:id="1291" w:name="Tc_KJ0JmklZ906G3v5Q_AQDSQ_5_0"/>
      <w:bookmarkStart w:id="1292" w:name="Tc_MA6zxWayBEuyIPAiLMUjqA_4_8"/>
      <w:bookmarkStart w:id="1293" w:name="Tc_Nn_tQc7gGUK0895Ux4aVKQ_4_5"/>
      <w:bookmarkStart w:id="1294" w:name="Tc_S5r-Lyram0usd92RlICWLQ_4_2"/>
      <w:bookmarkStart w:id="1295" w:name="Tc_9I-DHk9Fv0itVHQSqzbVcw_3_8"/>
      <w:bookmarkStart w:id="1296" w:name="Tc_OTUGOZdwtE-mCw0P05DSsA_3_5"/>
      <w:bookmarkStart w:id="1297" w:name="Tc_YpwGmQA0ZEymceNBgmNjcA_3_2"/>
      <w:bookmarkStart w:id="1298" w:name="Tc_nXy9kyEssEqVsdxadofJsg_2_9"/>
      <w:bookmarkStart w:id="1299" w:name="Tc_ioKM3SqRvE2VVZigGRK8yw_2_5"/>
      <w:bookmarkStart w:id="1300" w:name="Tc_-OzUDkEQx06WbOcttkMnDA_2_2"/>
      <w:bookmarkStart w:id="1301" w:name="Tc_CADPcduPFEySM459CRhfIA_1_5"/>
      <w:bookmarkStart w:id="1302" w:name="_5dce73b1_316c_43e1_820e_ddad9785f46f"/>
      <w:bookmarkStart w:id="1303" w:name="Tc_OqCo6fPTB0S6cmEdqWfpdw_7_6"/>
      <w:bookmarkStart w:id="1304" w:name="Tc_sHIfHke9O0qN3S0H10L8xg_7_0"/>
      <w:bookmarkStart w:id="1305" w:name="Tc_Kep2mtkDkk2BWH_-fvUAxg_6_6"/>
      <w:bookmarkStart w:id="1306" w:name="Tc_XPmpWV55VUuBHg3Qcv4bpw_6_0"/>
      <w:bookmarkStart w:id="1307" w:name="Tc_avewAQbRv0GjMipyvk0BKg_5_6"/>
      <w:bookmarkStart w:id="1308" w:name="Tc_9KgNM5Jop0WO5LQsD-TiSA_5_0"/>
      <w:bookmarkStart w:id="1309" w:name="Tc_aAsfIs5yrUWmJcWx2CE7ZQ_4_11"/>
      <w:bookmarkStart w:id="1310" w:name="Tc_yNWWb3RZ0k-U6IMlWft4NA_4_3"/>
      <w:bookmarkStart w:id="1311" w:name="Tc_-odmabJmb0G0hvG-CaGF6g_4_0"/>
      <w:bookmarkStart w:id="1312" w:name="Tc_ChVU-ju5DkG_WF9-YzS3pQ_3_11"/>
      <w:bookmarkStart w:id="1313" w:name="Tc_D-Rwj_7xXUeZlmwlcuDXnw_3_8"/>
      <w:bookmarkStart w:id="1314" w:name="Tc_PC1vLQblOkqbdJFblZt69Q_3_5"/>
      <w:bookmarkStart w:id="1315" w:name="Tc_dHs7rt0xFESWVPfa7WC3WA_3_2"/>
      <w:bookmarkStart w:id="1316" w:name="Tc_0XcbTRWnA0ipLqskrdZT9w_2_11"/>
      <w:bookmarkStart w:id="1317" w:name="Tc_CscpMcBibUmkWI2UW9NqrQ_2_8"/>
      <w:bookmarkStart w:id="1318" w:name="Tc_8gS2Jcqhz0SLpXDJYbwJOw_2_5"/>
      <w:bookmarkStart w:id="1319" w:name="Tc_NkHKcOieIEuQ1Ym0CsM07Q_2_3"/>
      <w:bookmarkStart w:id="1320" w:name="Tc_tAn2MsBPCUm18q0qAKtFVw_1_11"/>
      <w:bookmarkStart w:id="1321" w:name="Tc_RSpJfqPzkU2zfgOvdjQaXA_1_8"/>
      <w:bookmarkStart w:id="1322" w:name="Tc_wO88zxKCb0Gw8zn-ZBytjQ_1_5"/>
      <w:bookmarkStart w:id="1323" w:name="Tc_Ywr4iv_DHkSwGEj2cbsZQw_1_2"/>
      <w:bookmarkStart w:id="1324" w:name="_f45bf820_0ac7_4e2a_82bd_c55e9638da12"/>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r>
        <w:rPr>
          <w:rFonts w:ascii="Times New Roman;Times;serif" w:hAnsi="Times New Roman;Times;serif"/>
          <w:sz w:val="20"/>
        </w:rPr>
        <w:t>As part of the registered direct offering, the following number of shares of common stock, pre-funded warrants and common warrants were sold to related parties:</w:t>
      </w:r>
    </w:p>
    <w:tbl>
      <w:tblPr>
        <w:tblW w:w="8808" w:type="dxa"/>
        <w:jc w:val="left"/>
        <w:tblInd w:w="0" w:type="dxa"/>
        <w:tblLayout w:type="fixed"/>
        <w:tblCellMar>
          <w:top w:w="0" w:type="dxa"/>
          <w:left w:w="0" w:type="dxa"/>
          <w:bottom w:w="0" w:type="dxa"/>
          <w:right w:w="0" w:type="dxa"/>
        </w:tblCellMar>
      </w:tblPr>
      <w:tblGrid>
        <w:gridCol w:w="2941"/>
        <w:gridCol w:w="346"/>
        <w:gridCol w:w="148"/>
        <w:gridCol w:w="1068"/>
        <w:gridCol w:w="346"/>
        <w:gridCol w:w="109"/>
        <w:gridCol w:w="931"/>
        <w:gridCol w:w="346"/>
        <w:gridCol w:w="109"/>
        <w:gridCol w:w="931"/>
        <w:gridCol w:w="346"/>
        <w:gridCol w:w="211"/>
        <w:gridCol w:w="976"/>
      </w:tblGrid>
      <w:t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867535" cy="175260"/>
                      <wp:effectExtent l="0" t="0" r="0" b="0"/>
                      <wp:wrapNone/>
                      <wp:docPr id="255" name="Frame255"/>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56"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93980" cy="175260"/>
                      <wp:effectExtent l="0" t="0" r="0" b="0"/>
                      <wp:wrapNone/>
                      <wp:docPr id="257" name="Frame257"/>
                      <a:graphic xmlns:a="http://schemas.openxmlformats.org/drawingml/2006/main">
                        <a:graphicData uri="http://schemas.microsoft.com/office/word/2010/wordprocessingShape">
                          <wps:wsp>
                            <wps:cNvSpPr txBox="1"/>
                            <wps:spPr>
                              <a:xfrm>
                                <a:off x="0" y="0"/>
                                <a:ext cx="9398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78180" cy="175260"/>
                      <wp:effectExtent l="0" t="0" r="0" b="0"/>
                      <wp:wrapNone/>
                      <wp:docPr id="258" name="Frame258"/>
                      <a:graphic xmlns:a="http://schemas.openxmlformats.org/drawingml/2006/main">
                        <a:graphicData uri="http://schemas.microsoft.com/office/word/2010/wordprocessingShape">
                          <wps:wsp>
                            <wps:cNvSpPr txBox="1"/>
                            <wps:spPr>
                              <a:xfrm>
                                <a:off x="0" y="0"/>
                                <a:ext cx="67818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0"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91185" cy="175260"/>
                      <wp:effectExtent l="0" t="0" r="0" b="0"/>
                      <wp:wrapNone/>
                      <wp:docPr id="261" name="Frame2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3"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91185" cy="175260"/>
                      <wp:effectExtent l="0" t="0" r="0" b="0"/>
                      <wp:wrapNone/>
                      <wp:docPr id="264" name="Frame26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19760" cy="175260"/>
                      <wp:effectExtent l="0" t="0" r="0" b="0"/>
                      <wp:wrapNone/>
                      <wp:docPr id="267" name="Frame26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294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  ​ ​ ​</w:t>
            </w:r>
          </w:p>
        </w:tc>
        <w:tc>
          <w:tcPr>
            <w:tcW w:w="121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lineRule="auto" w:line="285" w:before="0" w:after="0"/>
              <w:ind w:left="0" w:right="0" w:hanging="0"/>
              <w:jc w:val="center"/>
            </w:pPr>
            <w:r>
              <w:t>​</w:t>
            </w:r>
          </w:p>
        </w:tc>
        <w:tc>
          <w:tcPr>
            <w:tcW w:w="10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lineRule="auto" w:line="285" w:before="0" w:after="0"/>
              <w:ind w:left="0" w:right="0" w:hanging="0"/>
              <w:jc w:val="left"/>
            </w:pPr>
            <w:r>
              <w:t>  ​ ​ ​</w:t>
            </w:r>
          </w:p>
        </w:tc>
        <w:tc>
          <w:tcPr>
            <w:tcW w:w="10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lineRule="auto" w:line="285" w:before="0" w:after="0"/>
              <w:ind w:left="0" w:right="0" w:hanging="0"/>
              <w:jc w:val="center"/>
            </w:pPr>
            <w:r>
              <w:t>​</w:t>
            </w:r>
          </w:p>
        </w:tc>
        <w:tc>
          <w:tcPr>
            <w:tcW w:w="11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c>
          <w:tcPr>
            <w:tcW w:w="294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148" w:type="dxa"/>
            <w:tcBorders/>
            <w:vAlign w:val="center"/>
          </w:tcPr>
          <w:p>
            <w:pPr>
              <w:pStyle w:val="TableContents"/>
              <w:bidi w:val="0"/>
              <w:spacing w:lineRule="auto" w:line="285" w:before="0" w:after="0"/>
              <w:ind w:left="0" w:right="0" w:hanging="0"/>
              <w:jc w:val="center"/>
            </w:pPr>
            <w:r>
              <w:t>​</w:t>
            </w:r>
          </w:p>
        </w:tc>
        <w:tc>
          <w:tcPr>
            <w:tcW w:w="1068"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 of</w:t>
            </w:r>
          </w:p>
        </w:tc>
        <w:tc>
          <w:tcPr>
            <w:tcW w:w="346" w:type="dxa"/>
            <w:tcBorders/>
            <w:vAlign w:val="center"/>
          </w:tcPr>
          <w:p>
            <w:pPr>
              <w:pStyle w:val="TableContents"/>
              <w:bidi w:val="0"/>
              <w:spacing w:lineRule="auto" w:line="285" w:before="0" w:after="0"/>
              <w:ind w:left="0" w:right="0" w:hanging="0"/>
              <w:jc w:val="center"/>
            </w:pPr>
            <w:r>
              <w:t>​</w:t>
            </w:r>
          </w:p>
        </w:tc>
        <w:tc>
          <w:tcPr>
            <w:tcW w:w="10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Pre-Funded</w:t>
            </w:r>
          </w:p>
        </w:tc>
        <w:tc>
          <w:tcPr>
            <w:tcW w:w="346" w:type="dxa"/>
            <w:tcBorders/>
            <w:vAlign w:val="center"/>
          </w:tcPr>
          <w:p>
            <w:pPr>
              <w:pStyle w:val="TableContents"/>
              <w:bidi w:val="0"/>
              <w:spacing w:lineRule="auto" w:line="285" w:before="0" w:after="0"/>
              <w:ind w:left="0" w:right="0" w:hanging="0"/>
              <w:jc w:val="left"/>
            </w:pPr>
            <w:r>
              <w:t>​</w:t>
            </w:r>
          </w:p>
        </w:tc>
        <w:tc>
          <w:tcPr>
            <w:tcW w:w="10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lineRule="auto" w:line="285" w:before="0" w:after="0"/>
              <w:ind w:left="0" w:right="0" w:hanging="0"/>
              <w:jc w:val="center"/>
            </w:pPr>
            <w:r>
              <w:t>​</w:t>
            </w:r>
          </w:p>
        </w:tc>
        <w:tc>
          <w:tcPr>
            <w:tcW w:w="11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Purchase</w:t>
            </w:r>
          </w:p>
        </w:tc>
      </w:tr>
      <w:tr>
        <w:tc>
          <w:tcPr>
            <w:tcW w:w="294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  ​ ​ ​</w:t>
            </w:r>
          </w:p>
        </w:tc>
        <w:tc>
          <w:tcPr>
            <w:tcW w:w="12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b/>
                <w:sz w:val="16"/>
              </w:rPr>
              <w:t>Common</w:t>
            </w:r>
            <w:r>
              <w:rPr>
                <w:rFonts w:ascii="Times New Roman;Times;serif" w:hAnsi="Times New Roman;Times;serif"/>
                <w:sz w:val="16"/>
              </w:rPr>
              <w:t> </w:t>
            </w:r>
            <w:r>
              <w:rPr>
                <w:rFonts w:ascii="Times New Roman;Times;serif" w:hAnsi="Times New Roman;Times;serif"/>
                <w:b/>
                <w:sz w:val="16"/>
              </w:rPr>
              <w:t>Stock</w:t>
            </w:r>
          </w:p>
        </w:tc>
        <w:tc>
          <w:tcPr>
            <w:tcW w:w="346" w:type="dxa"/>
            <w:tcBorders/>
            <w:vAlign w:val="center"/>
          </w:tcPr>
          <w:p>
            <w:pPr>
              <w:pStyle w:val="TableContents"/>
              <w:bidi w:val="0"/>
              <w:spacing w:lineRule="auto" w:line="285" w:before="0" w:after="0"/>
              <w:ind w:left="0" w:right="0" w:hanging="0"/>
              <w:jc w:val="left"/>
            </w:pPr>
            <w:r>
              <w:t>  ​ ​ ​</w:t>
            </w:r>
          </w:p>
        </w:tc>
        <w:tc>
          <w:tcPr>
            <w:tcW w:w="10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46" w:type="dxa"/>
            <w:tcBorders/>
            <w:vAlign w:val="center"/>
          </w:tcPr>
          <w:p>
            <w:pPr>
              <w:pStyle w:val="TableContents"/>
              <w:bidi w:val="0"/>
              <w:spacing w:lineRule="auto" w:line="285" w:before="0" w:after="0"/>
              <w:ind w:left="0" w:right="0" w:hanging="0"/>
              <w:jc w:val="left"/>
            </w:pPr>
            <w:r>
              <w:t>  ​ ​ ​</w:t>
            </w:r>
          </w:p>
        </w:tc>
        <w:tc>
          <w:tcPr>
            <w:tcW w:w="10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46" w:type="dxa"/>
            <w:tcBorders/>
            <w:vAlign w:val="center"/>
          </w:tcPr>
          <w:p>
            <w:pPr>
              <w:pStyle w:val="TableContents"/>
              <w:bidi w:val="0"/>
              <w:spacing w:lineRule="auto" w:line="285" w:before="0" w:after="0"/>
              <w:ind w:left="0" w:right="0" w:hanging="0"/>
              <w:jc w:val="left"/>
            </w:pPr>
            <w:r>
              <w:t>  ​ ​ ​</w:t>
            </w:r>
          </w:p>
        </w:tc>
        <w:tc>
          <w:tcPr>
            <w:tcW w:w="11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r>
      <w:t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OrbiMed Advisors LLC (1)</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48" w:type="dxa"/>
            <w:tcBorders/>
            <w:shd w:fill="CCEEFF" w:val="clear"/>
            <w:vAlign w:val="center"/>
          </w:tcPr>
          <w:p>
            <w:pPr>
              <w:pStyle w:val="TableContents"/>
              <w:bidi w:val="0"/>
              <w:spacing w:lineRule="auto" w:line="285" w:before="0" w:after="0"/>
              <w:ind w:left="0" w:right="0" w:hanging="0"/>
              <w:jc w:val="left"/>
            </w:pPr>
            <w:r>
              <w:t>​</w:t>
            </w:r>
          </w:p>
        </w:tc>
        <w:tc>
          <w:tcPr>
            <w:tcW w:w="1068"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1,444,085</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1,397,684</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2,499,856</w:t>
            </w:r>
          </w:p>
        </w:tc>
      </w:tr>
      <w:t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Puissance Capital Management (2)</w:t>
            </w:r>
          </w:p>
        </w:tc>
        <w:tc>
          <w:tcPr>
            <w:tcW w:w="346" w:type="dxa"/>
            <w:tcBorders/>
            <w:vAlign w:val="center"/>
          </w:tcPr>
          <w:p>
            <w:pPr>
              <w:pStyle w:val="TableContents"/>
              <w:bidi w:val="0"/>
              <w:spacing w:lineRule="auto" w:line="285" w:before="0" w:after="0"/>
              <w:ind w:left="0" w:right="0" w:hanging="0"/>
              <w:jc w:val="left"/>
            </w:pPr>
            <w:r>
              <w:t>​</w:t>
            </w:r>
          </w:p>
        </w:tc>
        <w:tc>
          <w:tcPr>
            <w:tcW w:w="148" w:type="dxa"/>
            <w:tcBorders/>
            <w:vAlign w:val="center"/>
          </w:tcPr>
          <w:p>
            <w:pPr>
              <w:pStyle w:val="TableContents"/>
              <w:bidi w:val="0"/>
              <w:spacing w:lineRule="auto" w:line="285" w:before="0" w:after="0"/>
              <w:ind w:left="0" w:right="0" w:hanging="0"/>
              <w:jc w:val="left"/>
            </w:pPr>
            <w:r>
              <w:t>​</w:t>
            </w:r>
          </w:p>
        </w:tc>
        <w:tc>
          <w:tcPr>
            <w:tcW w:w="106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866,451</w:t>
            </w:r>
          </w:p>
        </w:tc>
        <w:tc>
          <w:tcPr>
            <w:tcW w:w="346" w:type="dxa"/>
            <w:tcBorders/>
            <w:vAlign w:val="center"/>
          </w:tcPr>
          <w:p>
            <w:pPr>
              <w:pStyle w:val="TableContents"/>
              <w:bidi w:val="0"/>
              <w:spacing w:lineRule="auto" w:line="285" w:before="0" w:after="0"/>
              <w:ind w:left="0" w:right="0" w:hanging="0"/>
              <w:jc w:val="left"/>
            </w:pPr>
            <w:r>
              <w:t>​</w:t>
            </w:r>
          </w:p>
        </w:tc>
        <w:tc>
          <w:tcPr>
            <w:tcW w:w="109" w:type="dxa"/>
            <w:tcBorders/>
            <w:vAlign w:val="center"/>
          </w:tcPr>
          <w:p>
            <w:pPr>
              <w:pStyle w:val="TableContents"/>
              <w:bidi w:val="0"/>
              <w:spacing w:lineRule="auto" w:line="285" w:before="0" w:after="0"/>
              <w:ind w:left="0" w:right="0" w:hanging="0"/>
              <w:jc w:val="left"/>
            </w:pPr>
            <w:r>
              <w:t>​</w:t>
            </w:r>
          </w:p>
        </w:tc>
        <w:tc>
          <w:tcPr>
            <w:tcW w:w="93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09" w:type="dxa"/>
            <w:tcBorders/>
            <w:vAlign w:val="center"/>
          </w:tcPr>
          <w:p>
            <w:pPr>
              <w:pStyle w:val="TableContents"/>
              <w:bidi w:val="0"/>
              <w:spacing w:lineRule="auto" w:line="285" w:before="0" w:after="0"/>
              <w:ind w:left="0" w:right="0" w:hanging="0"/>
              <w:jc w:val="left"/>
            </w:pPr>
            <w: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838,610</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w:t>
            </w:r>
          </w:p>
        </w:tc>
        <w:tc>
          <w:tcPr>
            <w:tcW w:w="9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1,500,000</w:t>
            </w:r>
          </w:p>
        </w:tc>
      </w:tr>
      <w:t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Richard A. Miller, M.D. (3)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48" w:type="dxa"/>
            <w:tcBorders/>
            <w:shd w:fill="CCEEFF" w:val="clear"/>
            <w:vAlign w:val="center"/>
          </w:tcPr>
          <w:p>
            <w:pPr>
              <w:pStyle w:val="TableContents"/>
              <w:bidi w:val="0"/>
              <w:spacing w:lineRule="auto" w:line="285" w:before="0" w:after="0"/>
              <w:ind w:left="0" w:right="0" w:hanging="0"/>
              <w:jc w:val="left"/>
            </w:pPr>
            <w:r>
              <w:t>​</w:t>
            </w:r>
          </w:p>
        </w:tc>
        <w:tc>
          <w:tcPr>
            <w:tcW w:w="106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577,634</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931" w:type="dxa"/>
            <w:tcBorders/>
            <w:shd w:fill="CCEEFF" w:val="cle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09" w:type="dxa"/>
            <w:tcBorders/>
            <w:shd w:fill="CCEEFF" w:val="clear"/>
            <w:vAlign w:val="center"/>
          </w:tcPr>
          <w:p>
            <w:pPr>
              <w:pStyle w:val="TableContents"/>
              <w:bidi w:val="0"/>
              <w:spacing w:lineRule="auto" w:line="285" w:before="0" w:after="0"/>
              <w:ind w:left="0" w:right="0" w:hanging="0"/>
              <w:jc w:val="left"/>
            </w:pPr>
            <w: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559,073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9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1,000,000</w:t>
            </w:r>
          </w:p>
        </w:tc>
      </w:tr>
      <w:t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William B. Jones, Ph.D. (4)</w:t>
            </w:r>
          </w:p>
        </w:tc>
        <w:tc>
          <w:tcPr>
            <w:tcW w:w="346" w:type="dxa"/>
            <w:tcBorders/>
            <w:vAlign w:val="center"/>
          </w:tcPr>
          <w:p>
            <w:pPr>
              <w:pStyle w:val="TableContents"/>
              <w:bidi w:val="0"/>
              <w:spacing w:lineRule="auto" w:line="285" w:before="0" w:after="0"/>
              <w:ind w:left="0" w:right="0" w:hanging="0"/>
              <w:jc w:val="left"/>
            </w:pPr>
            <w:r>
              <w:t>​</w:t>
            </w:r>
          </w:p>
        </w:tc>
        <w:tc>
          <w:tcPr>
            <w:tcW w:w="148" w:type="dxa"/>
            <w:tcBorders/>
            <w:vAlign w:val="center"/>
          </w:tcPr>
          <w:p>
            <w:pPr>
              <w:pStyle w:val="TableContents"/>
              <w:bidi w:val="0"/>
              <w:spacing w:lineRule="auto" w:line="285" w:before="0" w:after="0"/>
              <w:ind w:left="0" w:right="0" w:hanging="0"/>
              <w:jc w:val="left"/>
            </w:pPr>
            <w:r>
              <w:t>​</w:t>
            </w:r>
          </w:p>
        </w:tc>
        <w:tc>
          <w:tcPr>
            <w:tcW w:w="106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20,001</w:t>
            </w:r>
          </w:p>
        </w:tc>
        <w:tc>
          <w:tcPr>
            <w:tcW w:w="346" w:type="dxa"/>
            <w:tcBorders/>
            <w:vAlign w:val="center"/>
          </w:tcPr>
          <w:p>
            <w:pPr>
              <w:pStyle w:val="TableContents"/>
              <w:bidi w:val="0"/>
              <w:spacing w:lineRule="auto" w:line="285" w:before="0" w:after="0"/>
              <w:ind w:left="0" w:right="0" w:hanging="0"/>
              <w:jc w:val="left"/>
            </w:pPr>
            <w:r>
              <w:t>​</w:t>
            </w:r>
          </w:p>
        </w:tc>
        <w:tc>
          <w:tcPr>
            <w:tcW w:w="109" w:type="dxa"/>
            <w:tcBorders/>
            <w:vAlign w:val="center"/>
          </w:tcPr>
          <w:p>
            <w:pPr>
              <w:pStyle w:val="TableContents"/>
              <w:bidi w:val="0"/>
              <w:spacing w:lineRule="auto" w:line="285" w:before="0" w:after="0"/>
              <w:ind w:left="0" w:right="0" w:hanging="0"/>
              <w:jc w:val="left"/>
            </w:pPr>
            <w:r>
              <w:t>​</w:t>
            </w:r>
          </w:p>
        </w:tc>
        <w:tc>
          <w:tcPr>
            <w:tcW w:w="931" w:type="dxa"/>
            <w:tcBorders/>
            <w:vAlign w:val="center"/>
          </w:tcPr>
          <w:p>
            <w:pPr>
              <w:pStyle w:val="TableContents"/>
              <w:bidi w:val="0"/>
              <w:spacing w:lineRule="auto" w:line="285" w:before="0" w:after="0"/>
              <w:ind w:left="0" w:right="0" w:hanging="0"/>
              <w:jc w:val="right"/>
            </w:pPr>
            <w:r>
              <w:t>—</w:t>
            </w:r>
          </w:p>
        </w:tc>
        <w:tc>
          <w:tcPr>
            <w:tcW w:w="346" w:type="dxa"/>
            <w:tcBorders/>
            <w:vAlign w:val="center"/>
          </w:tcPr>
          <w:p>
            <w:pPr>
              <w:pStyle w:val="TableContents"/>
              <w:bidi w:val="0"/>
              <w:spacing w:lineRule="auto" w:line="285" w:before="0" w:after="0"/>
              <w:ind w:left="0" w:right="0" w:hanging="0"/>
              <w:jc w:val="left"/>
            </w:pPr>
            <w:r>
              <w:t>​</w:t>
            </w:r>
          </w:p>
        </w:tc>
        <w:tc>
          <w:tcPr>
            <w:tcW w:w="109" w:type="dxa"/>
            <w:tcBorders/>
            <w:vAlign w:val="center"/>
          </w:tcPr>
          <w:p>
            <w:pPr>
              <w:pStyle w:val="TableContents"/>
              <w:bidi w:val="0"/>
              <w:spacing w:lineRule="auto" w:line="285" w:before="0" w:after="0"/>
              <w:ind w:left="0" w:right="0" w:hanging="0"/>
              <w:jc w:val="left"/>
            </w:pPr>
            <w: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19,357</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w:t>
            </w:r>
          </w:p>
        </w:tc>
        <w:tc>
          <w:tcPr>
            <w:tcW w:w="976"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34,624</w:t>
            </w:r>
          </w:p>
        </w:tc>
      </w:tr>
    </w:tbl>
    <w:tbl>
      <w:tblPr>
        <w:tblW w:w="10205" w:type="dxa"/>
        <w:jc w:val="left"/>
        <w:tblInd w:w="0" w:type="dxa"/>
        <w:tblLayout w:type="fixed"/>
        <w:tblCellMar>
          <w:top w:w="28" w:type="dxa"/>
          <w:left w:w="28" w:type="dxa"/>
          <w:bottom w:w="28" w:type="dxa"/>
          <w:right w:w="28" w:type="dxa"/>
        </w:tblCellMar>
      </w:tblPr>
      <w:tblGrid>
        <w:gridCol w:w="124"/>
        <w:gridCol w:w="318"/>
        <w:gridCol w:w="9763"/>
      </w:tblGrid>
      <w:tr>
        <w:tc>
          <w:tcPr>
            <w:tcW w:w="124" w:type="dxa"/>
            <w:tcBorders/>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6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Thompson, M.D., a member of the Company’s Board of Directors since November 2014, is a Private Equity Partner at OrbiMed Advisors, LLC.</w:t>
            </w:r>
          </w:p>
        </w:tc>
      </w:tr>
    </w:tbl>
    <w:tbl>
      <w:tblPr>
        <w:tblW w:w="10205" w:type="dxa"/>
        <w:jc w:val="left"/>
        <w:tblInd w:w="0" w:type="dxa"/>
        <w:tblLayout w:type="fixed"/>
        <w:tblCellMar>
          <w:top w:w="28" w:type="dxa"/>
          <w:left w:w="28" w:type="dxa"/>
          <w:bottom w:w="28" w:type="dxa"/>
          <w:right w:w="28" w:type="dxa"/>
        </w:tblCellMar>
      </w:tblPr>
      <w:tblGrid>
        <w:gridCol w:w="124"/>
        <w:gridCol w:w="305"/>
        <w:gridCol w:w="9776"/>
      </w:tblGrid>
      <w:tr>
        <w:tc>
          <w:tcPr>
            <w:tcW w:w="124" w:type="dxa"/>
            <w:tcBorders/>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76"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val="false"/>
                <w:caps w:val="false"/>
                <w:smallCaps w:val="false"/>
                <w:sz w:val="20"/>
              </w:rPr>
              <w:t>Ted Wang, Ph.D., a Co-Founder, General Manager and Director of Angel Pharmaceuticals, of which the Company holds a 49%</w:t>
            </w:r>
            <w:r>
              <w:rPr>
                <w:caps w:val="false"/>
                <w:smallCaps w:val="false"/>
              </w:rPr>
              <w:t xml:space="preserve"> </w:t>
            </w:r>
            <w:r>
              <w:rPr>
                <w:rFonts w:ascii="Times New Roman;Times;serif" w:hAnsi="Times New Roman;Times;serif"/>
                <w:b w:val="false"/>
                <w:i w:val="false"/>
                <w:caps w:val="false"/>
                <w:smallCaps w:val="false"/>
                <w:sz w:val="20"/>
              </w:rPr>
              <w:t>ownership interest, is the founder of Puissance Capital Management.</w:t>
            </w:r>
          </w:p>
        </w:tc>
      </w:tr>
    </w:tbl>
    <w:tbl>
      <w:tblPr>
        <w:tblW w:w="10056" w:type="dxa"/>
        <w:jc w:val="left"/>
        <w:tblInd w:w="0" w:type="dxa"/>
        <w:tblLayout w:type="fixed"/>
        <w:tblCellMar>
          <w:top w:w="28" w:type="dxa"/>
          <w:left w:w="28" w:type="dxa"/>
          <w:bottom w:w="28" w:type="dxa"/>
          <w:right w:w="28" w:type="dxa"/>
        </w:tblCellMar>
      </w:tblPr>
      <w:tblGrid>
        <w:gridCol w:w="124"/>
        <w:gridCol w:w="331"/>
        <w:gridCol w:w="9601"/>
      </w:tblGrid>
      <w:t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A. Miller, M.D. is the Company’s President, Chief Executive Officer and Chairman of the Board of Directors.</w:t>
            </w:r>
          </w:p>
        </w:tc>
      </w:tr>
    </w:tbl>
    <w:tbl>
      <w:tblPr>
        <w:tblW w:w="8271" w:type="dxa"/>
        <w:jc w:val="left"/>
        <w:tblInd w:w="0" w:type="dxa"/>
        <w:tblLayout w:type="fixed"/>
        <w:tblCellMar>
          <w:top w:w="28" w:type="dxa"/>
          <w:left w:w="28" w:type="dxa"/>
          <w:bottom w:w="28" w:type="dxa"/>
          <w:right w:w="28" w:type="dxa"/>
        </w:tblCellMar>
      </w:tblPr>
      <w:tblGrid>
        <w:gridCol w:w="124"/>
        <w:gridCol w:w="331"/>
        <w:gridCol w:w="7816"/>
      </w:tblGrid>
      <w:t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B. Jones, Ph.D. is the Company’s Senior Vice President, Pharmaceutical Development.</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June 30, 2025, all of the common warrants sold to related parties as part of the Company’s May 2024 registered direct offering were exercised. The details of these exercises are as follows:</w:t>
      </w:r>
    </w:p>
    <w:p>
      <w:pPr>
        <w:pStyle w:val="TextBody"/>
        <w:bidi w:val="0"/>
        <w:spacing w:lineRule="auto" w:line="285" w:before="0" w:after="0"/>
        <w:ind w:left="0" w:right="0" w:hanging="0"/>
        <w:jc w:val="left"/>
      </w:pPr>
      <w:r>
        <w:t>​</w:t>
      </w:r>
    </w:p>
    <w:tbl>
      <w:tblPr>
        <w:tblW w:w="7999" w:type="dxa"/>
        <w:jc w:val="left"/>
        <w:tblInd w:w="0" w:type="dxa"/>
        <w:tblLayout w:type="fixed"/>
        <w:tblCellMar>
          <w:top w:w="0" w:type="dxa"/>
          <w:left w:w="0" w:type="dxa"/>
          <w:bottom w:w="0" w:type="dxa"/>
          <w:right w:w="0" w:type="dxa"/>
        </w:tblCellMar>
      </w:tblPr>
      <w:tblGrid>
        <w:gridCol w:w="2671"/>
        <w:gridCol w:w="346"/>
        <w:gridCol w:w="158"/>
        <w:gridCol w:w="1357"/>
        <w:gridCol w:w="346"/>
        <w:gridCol w:w="158"/>
        <w:gridCol w:w="1132"/>
        <w:gridCol w:w="346"/>
        <w:gridCol w:w="264"/>
        <w:gridCol w:w="1221"/>
      </w:tblGrid>
      <w:t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696085" cy="175260"/>
                      <wp:effectExtent l="0" t="0" r="0" b="0"/>
                      <wp:wrapNone/>
                      <wp:docPr id="268" name="Frame268"/>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00330" cy="175260"/>
                      <wp:effectExtent l="0" t="0" r="0" b="0"/>
                      <wp:wrapNone/>
                      <wp:docPr id="270" name="Frame270"/>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861695" cy="175260"/>
                      <wp:effectExtent l="0" t="0" r="0" b="0"/>
                      <wp:wrapNone/>
                      <wp:docPr id="271" name="Frame271"/>
                      <a:graphic xmlns:a="http://schemas.openxmlformats.org/drawingml/2006/main">
                        <a:graphicData uri="http://schemas.microsoft.com/office/word/2010/wordprocessingShape">
                          <wps:wsp>
                            <wps:cNvSpPr txBox="1"/>
                            <wps:spPr>
                              <a:xfrm>
                                <a:off x="0" y="0"/>
                                <a:ext cx="86169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00330" cy="175260"/>
                      <wp:effectExtent l="0" t="0" r="0" b="0"/>
                      <wp:wrapNone/>
                      <wp:docPr id="273" name="Frame273"/>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18820" cy="175260"/>
                      <wp:effectExtent l="0" t="0" r="0" b="0"/>
                      <wp:wrapNone/>
                      <wp:docPr id="274" name="Frame274"/>
                      <a:graphic xmlns:a="http://schemas.openxmlformats.org/drawingml/2006/main">
                        <a:graphicData uri="http://schemas.microsoft.com/office/word/2010/wordprocessingShape">
                          <wps:wsp>
                            <wps:cNvSpPr txBox="1"/>
                            <wps:spPr>
                              <a:xfrm>
                                <a:off x="0" y="0"/>
                                <a:ext cx="71882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67640" cy="175260"/>
                      <wp:effectExtent l="0" t="0" r="0" b="0"/>
                      <wp:wrapNone/>
                      <wp:docPr id="276" name="Frame276"/>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775335" cy="175260"/>
                      <wp:effectExtent l="0" t="0" r="0" b="0"/>
                      <wp:wrapNone/>
                      <wp:docPr id="277" name="Frame277"/>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267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  ​ ​ ​</w:t>
            </w:r>
          </w:p>
        </w:tc>
        <w:tc>
          <w:tcPr>
            <w:tcW w:w="1515" w:type="dxa"/>
            <w:gridSpan w:val="2"/>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center"/>
            </w:pPr>
            <w:r>
              <w:t>​</w:t>
            </w:r>
          </w:p>
        </w:tc>
        <w:tc>
          <w:tcPr>
            <w:tcW w:w="129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lineRule="auto" w:line="285" w:before="0" w:after="0"/>
              <w:ind w:left="0" w:right="0" w:hanging="0"/>
              <w:jc w:val="center"/>
            </w:pPr>
            <w:r>
              <w:t>​</w:t>
            </w:r>
          </w:p>
        </w:tc>
        <w:tc>
          <w:tcPr>
            <w:tcW w:w="1485" w:type="dxa"/>
            <w:gridSpan w:val="2"/>
            <w:tcBorders/>
            <w:vAlign w:val="center"/>
          </w:tcPr>
          <w:p>
            <w:pPr>
              <w:pStyle w:val="TableContents"/>
              <w:bidi w:val="0"/>
              <w:spacing w:lineRule="auto" w:line="285" w:before="0" w:after="0"/>
              <w:ind w:left="0" w:right="0" w:hanging="0"/>
              <w:jc w:val="center"/>
            </w:pPr>
            <w:r>
              <w:t>​</w:t>
            </w:r>
          </w:p>
        </w:tc>
      </w:tr>
      <w:tr>
        <w:tc>
          <w:tcPr>
            <w:tcW w:w="267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151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lineRule="auto" w:line="285" w:before="0" w:after="0"/>
              <w:ind w:left="0" w:right="0" w:hanging="0"/>
              <w:jc w:val="center"/>
            </w:pPr>
            <w:r>
              <w:t>​</w:t>
            </w:r>
          </w:p>
        </w:tc>
        <w:tc>
          <w:tcPr>
            <w:tcW w:w="129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346" w:type="dxa"/>
            <w:tcBorders/>
            <w:vAlign w:val="center"/>
          </w:tcPr>
          <w:p>
            <w:pPr>
              <w:pStyle w:val="TableContents"/>
              <w:bidi w:val="0"/>
              <w:spacing w:lineRule="auto" w:line="285" w:before="0" w:after="0"/>
              <w:ind w:left="0" w:right="0" w:hanging="0"/>
              <w:jc w:val="center"/>
            </w:pPr>
            <w:r>
              <w:t>​</w:t>
            </w:r>
          </w:p>
        </w:tc>
        <w:tc>
          <w:tcPr>
            <w:tcW w:w="264" w:type="dxa"/>
            <w:tcBorders/>
            <w:vAlign w:val="center"/>
          </w:tcPr>
          <w:p>
            <w:pPr>
              <w:pStyle w:val="TableContents"/>
              <w:bidi w:val="0"/>
              <w:spacing w:lineRule="auto" w:line="285" w:before="0" w:after="0"/>
              <w:ind w:left="0" w:right="0" w:hanging="0"/>
              <w:jc w:val="center"/>
            </w:pPr>
            <w:r>
              <w:t>​</w:t>
            </w:r>
          </w:p>
        </w:tc>
        <w:tc>
          <w:tcPr>
            <w:tcW w:w="122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c>
          <w:tcPr>
            <w:tcW w:w="267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151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Common Warrants</w:t>
            </w:r>
          </w:p>
        </w:tc>
        <w:tc>
          <w:tcPr>
            <w:tcW w:w="346" w:type="dxa"/>
            <w:tcBorders/>
            <w:vAlign w:val="center"/>
          </w:tcPr>
          <w:p>
            <w:pPr>
              <w:pStyle w:val="TableContents"/>
              <w:bidi w:val="0"/>
              <w:spacing w:lineRule="auto" w:line="285" w:before="0" w:after="0"/>
              <w:ind w:left="0" w:right="0" w:hanging="0"/>
              <w:jc w:val="center"/>
            </w:pPr>
            <w:r>
              <w:t>​</w:t>
            </w:r>
          </w:p>
        </w:tc>
        <w:tc>
          <w:tcPr>
            <w:tcW w:w="129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Issued Upon</w:t>
            </w:r>
          </w:p>
        </w:tc>
        <w:tc>
          <w:tcPr>
            <w:tcW w:w="346" w:type="dxa"/>
            <w:tcBorders/>
            <w:vAlign w:val="center"/>
          </w:tcPr>
          <w:p>
            <w:pPr>
              <w:pStyle w:val="TableContents"/>
              <w:bidi w:val="0"/>
              <w:spacing w:lineRule="auto" w:line="285" w:before="0" w:after="0"/>
              <w:ind w:left="0" w:right="0" w:hanging="0"/>
              <w:jc w:val="center"/>
            </w:pPr>
            <w:r>
              <w:t>​</w:t>
            </w:r>
          </w:p>
        </w:tc>
        <w:tc>
          <w:tcPr>
            <w:tcW w:w="14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Proceeds Received</w:t>
            </w:r>
          </w:p>
        </w:tc>
      </w:tr>
      <w:tr>
        <w:tc>
          <w:tcPr>
            <w:tcW w:w="267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  ​ ​ ​</w:t>
            </w:r>
          </w:p>
        </w:tc>
        <w:tc>
          <w:tcPr>
            <w:tcW w:w="151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Exercised</w:t>
            </w:r>
          </w:p>
        </w:tc>
        <w:tc>
          <w:tcPr>
            <w:tcW w:w="346" w:type="dxa"/>
            <w:tcBorders/>
            <w:vAlign w:val="center"/>
          </w:tcPr>
          <w:p>
            <w:pPr>
              <w:pStyle w:val="TableContents"/>
              <w:bidi w:val="0"/>
              <w:spacing w:lineRule="auto" w:line="285" w:before="0" w:after="0"/>
              <w:ind w:left="0" w:right="0" w:hanging="0"/>
              <w:jc w:val="left"/>
            </w:pPr>
            <w:r>
              <w:t>  ​ ​ ​</w:t>
            </w:r>
          </w:p>
        </w:tc>
        <w:tc>
          <w:tcPr>
            <w:tcW w:w="12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lineRule="auto" w:line="285" w:before="0" w:after="0"/>
              <w:ind w:left="0" w:right="0" w:hanging="0"/>
              <w:jc w:val="left"/>
            </w:pPr>
            <w:r>
              <w:t>  ​ ​ ​</w:t>
            </w:r>
          </w:p>
        </w:tc>
        <w:tc>
          <w:tcPr>
            <w:tcW w:w="14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Upon Exercise</w:t>
            </w:r>
          </w:p>
        </w:tc>
      </w:tr>
      <w:tr>
        <w:tc>
          <w:tcPr>
            <w:tcW w:w="26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OrbiMed Advisors LLC (1)</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58" w:type="dxa"/>
            <w:tcBorders/>
            <w:shd w:fill="CCEEFF" w:val="clear"/>
            <w:vAlign w:val="center"/>
          </w:tcPr>
          <w:p>
            <w:pPr>
              <w:pStyle w:val="TableContents"/>
              <w:bidi w:val="0"/>
              <w:spacing w:lineRule="auto" w:line="285" w:before="0" w:after="0"/>
              <w:ind w:left="0" w:right="0" w:hanging="0"/>
              <w:jc w:val="left"/>
            </w:pPr>
            <w:r>
              <w:t>​</w:t>
            </w:r>
          </w:p>
        </w:tc>
        <w:tc>
          <w:tcPr>
            <w:tcW w:w="135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1,397,684</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58" w:type="dxa"/>
            <w:tcBorders/>
            <w:shd w:fill="CCEEFF" w:val="clear"/>
            <w:vAlign w:val="center"/>
          </w:tcPr>
          <w:p>
            <w:pPr>
              <w:pStyle w:val="TableContents"/>
              <w:bidi w:val="0"/>
              <w:spacing w:lineRule="auto" w:line="285" w:before="0" w:after="0"/>
              <w:ind w:left="0" w:right="0" w:hanging="0"/>
              <w:jc w:val="left"/>
            </w:pPr>
            <w:r>
              <w:t>​</w:t>
            </w:r>
          </w:p>
        </w:tc>
        <w:tc>
          <w:tcPr>
            <w:tcW w:w="11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221,352</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lineRule="auto" w:line="285" w:before="0" w:after="0"/>
              <w:ind w:left="0" w:right="0" w:hanging="0"/>
              <w:jc w:val="right"/>
            </w:pPr>
            <w:r>
              <w:t>—</w:t>
            </w:r>
          </w:p>
        </w:tc>
      </w:tr>
      <w:tr>
        <w:tc>
          <w:tcPr>
            <w:tcW w:w="26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Puissance Capital Management</w:t>
            </w:r>
          </w:p>
        </w:tc>
        <w:tc>
          <w:tcPr>
            <w:tcW w:w="346" w:type="dxa"/>
            <w:tcBorders/>
            <w:vAlign w:val="center"/>
          </w:tcPr>
          <w:p>
            <w:pPr>
              <w:pStyle w:val="TableContents"/>
              <w:bidi w:val="0"/>
              <w:spacing w:lineRule="auto" w:line="285" w:before="0" w:after="0"/>
              <w:ind w:left="0" w:right="0" w:hanging="0"/>
              <w:jc w:val="left"/>
            </w:pPr>
            <w:r>
              <w:t>​</w:t>
            </w:r>
          </w:p>
        </w:tc>
        <w:tc>
          <w:tcPr>
            <w:tcW w:w="158" w:type="dxa"/>
            <w:tcBorders/>
            <w:vAlign w:val="center"/>
          </w:tcPr>
          <w:p>
            <w:pPr>
              <w:pStyle w:val="TableContents"/>
              <w:bidi w:val="0"/>
              <w:spacing w:lineRule="auto" w:line="285" w:before="0" w:after="0"/>
              <w:ind w:left="0" w:right="0" w:hanging="0"/>
              <w:jc w:val="left"/>
            </w:pPr>
            <w:r>
              <w:t>​</w:t>
            </w:r>
          </w:p>
        </w:tc>
        <w:tc>
          <w:tcPr>
            <w:tcW w:w="135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838,610</w:t>
            </w:r>
          </w:p>
        </w:tc>
        <w:tc>
          <w:tcPr>
            <w:tcW w:w="346" w:type="dxa"/>
            <w:tcBorders/>
            <w:vAlign w:val="center"/>
          </w:tcPr>
          <w:p>
            <w:pPr>
              <w:pStyle w:val="TableContents"/>
              <w:bidi w:val="0"/>
              <w:spacing w:lineRule="auto" w:line="285" w:before="0" w:after="0"/>
              <w:ind w:left="0" w:right="0" w:hanging="0"/>
              <w:jc w:val="left"/>
            </w:pPr>
            <w:r>
              <w:t>​</w:t>
            </w:r>
          </w:p>
        </w:tc>
        <w:tc>
          <w:tcPr>
            <w:tcW w:w="158" w:type="dxa"/>
            <w:tcBorders/>
            <w:vAlign w:val="center"/>
          </w:tcPr>
          <w:p>
            <w:pPr>
              <w:pStyle w:val="TableContents"/>
              <w:bidi w:val="0"/>
              <w:spacing w:lineRule="auto" w:line="285" w:before="0" w:after="0"/>
              <w:ind w:left="0" w:right="0" w:hanging="0"/>
              <w:jc w:val="left"/>
            </w:pPr>
            <w:r>
              <w:t>​</w:t>
            </w:r>
          </w:p>
        </w:tc>
        <w:tc>
          <w:tcPr>
            <w:tcW w:w="113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838,610</w:t>
            </w:r>
          </w:p>
        </w:tc>
        <w:tc>
          <w:tcPr>
            <w:tcW w:w="346" w:type="dxa"/>
            <w:tcBorders/>
            <w:vAlign w:val="center"/>
          </w:tcPr>
          <w:p>
            <w:pPr>
              <w:pStyle w:val="TableContents"/>
              <w:bidi w:val="0"/>
              <w:spacing w:lineRule="auto" w:line="285" w:before="0" w:after="0"/>
              <w:ind w:left="0" w:right="0" w:hanging="0"/>
              <w:jc w:val="left"/>
            </w:pPr>
            <w:r>
              <w:t>​</w:t>
            </w:r>
          </w:p>
        </w:tc>
        <w:tc>
          <w:tcPr>
            <w:tcW w:w="264" w:type="dxa"/>
            <w:tcBorders/>
            <w:vAlign w:val="center"/>
          </w:tcPr>
          <w:p>
            <w:pPr>
              <w:pStyle w:val="TableContents"/>
              <w:bidi w:val="0"/>
              <w:spacing w:lineRule="auto" w:line="285" w:before="0" w:after="0"/>
              <w:ind w:left="0" w:right="0" w:hanging="0"/>
              <w:jc w:val="left"/>
            </w:pPr>
            <w:r>
              <w:t>​</w:t>
            </w:r>
          </w:p>
        </w:tc>
        <w:tc>
          <w:tcPr>
            <w:tcW w:w="12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2,935,135</w:t>
            </w:r>
          </w:p>
        </w:tc>
      </w:tr>
      <w:tr>
        <w:tc>
          <w:tcPr>
            <w:tcW w:w="26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Richard A. Miller, M.D.</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58" w:type="dxa"/>
            <w:tcBorders/>
            <w:shd w:fill="CCEEFF" w:val="clear"/>
            <w:vAlign w:val="center"/>
          </w:tcPr>
          <w:p>
            <w:pPr>
              <w:pStyle w:val="TableContents"/>
              <w:bidi w:val="0"/>
              <w:spacing w:lineRule="auto" w:line="285" w:before="0" w:after="0"/>
              <w:ind w:left="0" w:right="0" w:hanging="0"/>
              <w:jc w:val="left"/>
            </w:pPr>
            <w:r>
              <w:t>​</w:t>
            </w:r>
          </w:p>
        </w:tc>
        <w:tc>
          <w:tcPr>
            <w:tcW w:w="135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559,073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158" w:type="dxa"/>
            <w:tcBorders/>
            <w:shd w:fill="CCEEFF" w:val="clear"/>
            <w:vAlign w:val="center"/>
          </w:tcPr>
          <w:p>
            <w:pPr>
              <w:pStyle w:val="TableContents"/>
              <w:bidi w:val="0"/>
              <w:spacing w:lineRule="auto" w:line="285" w:before="0" w:after="0"/>
              <w:ind w:left="0" w:right="0" w:hanging="0"/>
              <w:jc w:val="left"/>
            </w:pPr>
            <w:r>
              <w:t>​</w:t>
            </w:r>
          </w:p>
        </w:tc>
        <w:tc>
          <w:tcPr>
            <w:tcW w:w="11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559,073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64" w:type="dxa"/>
            <w:tcBorders/>
            <w:shd w:fill="CCEEFF" w:val="clear"/>
            <w:vAlign w:val="center"/>
          </w:tcPr>
          <w:p>
            <w:pPr>
              <w:pStyle w:val="TableContents"/>
              <w:bidi w:val="0"/>
              <w:spacing w:lineRule="auto" w:line="285" w:before="0" w:after="0"/>
              <w:ind w:left="0" w:right="0" w:hanging="0"/>
              <w:jc w:val="left"/>
            </w:pPr>
            <w:r>
              <w:t>​</w:t>
            </w:r>
          </w:p>
        </w:tc>
        <w:tc>
          <w:tcPr>
            <w:tcW w:w="12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1,956,756</w:t>
            </w:r>
          </w:p>
        </w:tc>
      </w:tr>
      <w:tr>
        <w:tc>
          <w:tcPr>
            <w:tcW w:w="26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William B. Jones, Ph.D.</w:t>
            </w:r>
          </w:p>
        </w:tc>
        <w:tc>
          <w:tcPr>
            <w:tcW w:w="346" w:type="dxa"/>
            <w:tcBorders/>
            <w:vAlign w:val="center"/>
          </w:tcPr>
          <w:p>
            <w:pPr>
              <w:pStyle w:val="TableContents"/>
              <w:bidi w:val="0"/>
              <w:spacing w:lineRule="auto" w:line="285" w:before="0" w:after="0"/>
              <w:ind w:left="0" w:right="0" w:hanging="0"/>
              <w:jc w:val="left"/>
            </w:pPr>
            <w:r>
              <w:t>​</w:t>
            </w:r>
          </w:p>
        </w:tc>
        <w:tc>
          <w:tcPr>
            <w:tcW w:w="158" w:type="dxa"/>
            <w:tcBorders/>
            <w:vAlign w:val="center"/>
          </w:tcPr>
          <w:p>
            <w:pPr>
              <w:pStyle w:val="TableContents"/>
              <w:bidi w:val="0"/>
              <w:spacing w:lineRule="auto" w:line="285" w:before="0" w:after="0"/>
              <w:ind w:left="0" w:right="0" w:hanging="0"/>
              <w:jc w:val="left"/>
            </w:pPr>
            <w:r>
              <w:t>​</w:t>
            </w:r>
          </w:p>
        </w:tc>
        <w:tc>
          <w:tcPr>
            <w:tcW w:w="135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19,357</w:t>
            </w:r>
          </w:p>
        </w:tc>
        <w:tc>
          <w:tcPr>
            <w:tcW w:w="346" w:type="dxa"/>
            <w:tcBorders/>
            <w:vAlign w:val="center"/>
          </w:tcPr>
          <w:p>
            <w:pPr>
              <w:pStyle w:val="TableContents"/>
              <w:bidi w:val="0"/>
              <w:spacing w:lineRule="auto" w:line="285" w:before="0" w:after="0"/>
              <w:ind w:left="0" w:right="0" w:hanging="0"/>
              <w:jc w:val="left"/>
            </w:pPr>
            <w:r>
              <w:t>​</w:t>
            </w:r>
          </w:p>
        </w:tc>
        <w:tc>
          <w:tcPr>
            <w:tcW w:w="158" w:type="dxa"/>
            <w:tcBorders/>
            <w:vAlign w:val="center"/>
          </w:tcPr>
          <w:p>
            <w:pPr>
              <w:pStyle w:val="TableContents"/>
              <w:bidi w:val="0"/>
              <w:spacing w:lineRule="auto" w:line="285" w:before="0" w:after="0"/>
              <w:ind w:left="0" w:right="0" w:hanging="0"/>
              <w:jc w:val="left"/>
            </w:pPr>
            <w:r>
              <w:t>​</w:t>
            </w:r>
          </w:p>
        </w:tc>
        <w:tc>
          <w:tcPr>
            <w:tcW w:w="113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19,357</w:t>
            </w:r>
          </w:p>
        </w:tc>
        <w:tc>
          <w:tcPr>
            <w:tcW w:w="346" w:type="dxa"/>
            <w:tcBorders/>
            <w:vAlign w:val="center"/>
          </w:tcPr>
          <w:p>
            <w:pPr>
              <w:pStyle w:val="TableContents"/>
              <w:bidi w:val="0"/>
              <w:spacing w:lineRule="auto" w:line="285" w:before="0" w:after="0"/>
              <w:ind w:left="0" w:right="0" w:hanging="0"/>
              <w:jc w:val="left"/>
            </w:pPr>
            <w:r>
              <w:t>​</w:t>
            </w:r>
          </w:p>
        </w:tc>
        <w:tc>
          <w:tcPr>
            <w:tcW w:w="264" w:type="dxa"/>
            <w:tcBorders/>
            <w:vAlign w:val="center"/>
          </w:tcPr>
          <w:p>
            <w:pPr>
              <w:pStyle w:val="TableContents"/>
              <w:bidi w:val="0"/>
              <w:spacing w:lineRule="auto" w:line="285" w:before="0" w:after="0"/>
              <w:ind w:left="0" w:right="0" w:hanging="0"/>
              <w:jc w:val="left"/>
            </w:pPr>
            <w:r>
              <w:t>​</w:t>
            </w:r>
          </w:p>
        </w:tc>
        <w:tc>
          <w:tcPr>
            <w:tcW w:w="1221"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67,750</w:t>
            </w:r>
          </w:p>
        </w:tc>
      </w:tr>
    </w:tbl>
    <w:tbl>
      <w:tblPr>
        <w:tblW w:w="10205" w:type="dxa"/>
        <w:jc w:val="left"/>
        <w:tblInd w:w="0" w:type="dxa"/>
        <w:tblLayout w:type="fixed"/>
        <w:tblCellMar>
          <w:top w:w="28" w:type="dxa"/>
          <w:left w:w="28" w:type="dxa"/>
          <w:bottom w:w="28" w:type="dxa"/>
          <w:right w:w="28" w:type="dxa"/>
        </w:tblCellMar>
      </w:tblPr>
      <w:tblGrid>
        <w:gridCol w:w="124"/>
        <w:gridCol w:w="291"/>
        <w:gridCol w:w="9790"/>
      </w:tblGrid>
      <w:tr>
        <w:tc>
          <w:tcPr>
            <w:tcW w:w="124" w:type="dxa"/>
            <w:tcBorders/>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90"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val="false"/>
                <w:caps w:val="false"/>
                <w:smallCaps w:val="false"/>
                <w:sz w:val="20"/>
              </w:rPr>
              <w:t>OrbiMed Advisors LLC paid the exercise price of $3.50</w:t>
            </w:r>
            <w:r>
              <w:rPr>
                <w:caps w:val="false"/>
                <w:smallCaps w:val="false"/>
              </w:rPr>
              <w:t xml:space="preserve"> </w:t>
            </w:r>
            <w:r>
              <w:rPr>
                <w:rFonts w:ascii="Times New Roman;Times;serif" w:hAnsi="Times New Roman;Times;serif"/>
                <w:b w:val="false"/>
                <w:i w:val="false"/>
                <w:caps w:val="false"/>
                <w:smallCaps w:val="false"/>
                <w:sz w:val="20"/>
              </w:rPr>
              <w:t>per common stock warrant on a cashless basis, resulting in the Company withholding 1,176,332</w:t>
            </w:r>
            <w:r>
              <w:rPr>
                <w:caps w:val="false"/>
                <w:smallCaps w:val="false"/>
              </w:rPr>
              <w:t xml:space="preserve"> </w:t>
            </w:r>
            <w:r>
              <w:rPr>
                <w:rFonts w:ascii="Times New Roman;Times;serif" w:hAnsi="Times New Roman;Times;serif"/>
                <w:b w:val="false"/>
                <w:i w:val="false"/>
                <w:caps w:val="false"/>
                <w:smallCaps w:val="false"/>
                <w:sz w:val="20"/>
              </w:rPr>
              <w:t>of the warrant shares to pay the exercise price and issuing to OrbiMed Advisors LLC the remaining 221,352</w:t>
            </w:r>
            <w:r>
              <w:rPr>
                <w:caps w:val="false"/>
                <w:smallCaps w:val="false"/>
              </w:rPr>
              <w:t xml:space="preserve"> </w:t>
            </w:r>
            <w:r>
              <w:rPr>
                <w:rFonts w:ascii="Times New Roman;Times;serif" w:hAnsi="Times New Roman;Times;serif"/>
                <w:b w:val="false"/>
                <w:i w:val="false"/>
                <w:caps w:val="false"/>
                <w:smallCaps w:val="false"/>
                <w:sz w:val="20"/>
              </w:rPr>
              <w:t>shares. This transaction is considered a non-cash financing activity.</w:t>
            </w:r>
          </w:p>
        </w:tc>
      </w:tr>
    </w:tbl>
    <w:p>
      <w:pPr>
        <w:pStyle w:val="TextBody"/>
        <w:bidi w:val="0"/>
        <w:spacing w:lineRule="auto" w:line="285" w:before="0" w:after="0"/>
        <w:ind w:left="0" w:right="0" w:firstLine="72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July 2021, Linda S. Grais, M.D., J.D., a member of the Company’s Board of Directors, was appointed as a non-executive member of the Board of Directors of ICON plc (“ICON”), effective upon completion of ICON’s acquisition of PRA Health Sciences, Inc. ICON is a clinical research organization and provides services to support the Company’s clinical trials. During the three months ended September 30, 2026 and 2025, the Company recorded approximately $216,000 and $117,000, respectively, in clinical trial expenses under its agreements with ICON.</w:t>
      </w:r>
    </w:p>
    <w:p>
      <w:pPr>
        <w:pStyle w:val="TextBody"/>
        <w:bidi w:val="0"/>
        <w:spacing w:lineRule="auto" w:line="285" w:before="0" w:after="0"/>
        <w:ind w:left="0" w:right="0" w:hanging="0"/>
        <w:jc w:val="left"/>
      </w:pPr>
      <w: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bookmarkStart w:id="1325" w:name="Item2ManagementsDiscussionandAnalysisofF"/>
      <w:bookmarkStart w:id="1326" w:name="_a3b319d7_24ce_4e06_b4ce_6996df619b80"/>
      <w:bookmarkEnd w:id="1325"/>
      <w:bookmarkEnd w:id="1326"/>
      <w:r>
        <w:rPr>
          <w:rFonts w:ascii="Times New Roman;Times;serif" w:hAnsi="Times New Roman;Times;serif"/>
          <w:b/>
          <w:sz w:val="20"/>
        </w:rPr>
        <w:t>Item 2.    Management’s Discussion and Analysis of Financial Condition and Results of Operations</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unaudited condensed consolidated financial statements and related notes thereto included in Part I, Item 1 of this Quarterly Report on Form 10-Q and with our audited condensed consolidated financial statements and notes for the year ended December 31, 2025, included in our Annual Report on Form 10-K filed with the U.S. Securities and Exchange Commission (“SEC”) on March 12, 2026.</w:t>
      </w:r>
    </w:p>
    <w:p>
      <w:pPr>
        <w:pStyle w:val="TextBody"/>
        <w:bidi w:val="0"/>
        <w:spacing w:lineRule="auto" w:line="285" w:before="0" w:after="0"/>
        <w:ind w:left="0" w:right="0" w:firstLine="720"/>
        <w:jc w:val="left"/>
      </w:pPr>
      <w:r>
        <w:t>​</w:t>
      </w:r>
    </w:p>
    <w:p>
      <w:pPr>
        <w:pStyle w:val="TextBody"/>
        <w:bidi w:val="0"/>
        <w:spacing w:lineRule="auto" w:line="285" w:before="0" w:after="0"/>
        <w:ind w:left="0" w:right="0" w:firstLine="720"/>
        <w:jc w:val="left"/>
        <w:rPr>
          <w:rFonts w:ascii="Times New Roman;Times;serif" w:hAnsi="Times New Roman;Times;serif"/>
          <w:i/>
          <w:sz w:val="20"/>
        </w:rPr>
      </w:pPr>
      <w:r>
        <w:rPr>
          <w:rFonts w:ascii="Times New Roman;Times;serif" w:hAnsi="Times New Roman;Times;serif"/>
          <w:i/>
          <w:sz w:val="20"/>
        </w:rPr>
        <w:t>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Except as may be required by law, we assume no obligation to update these forward-looking statements or the reasons that results could differ from these forward-looking statements.</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a clinical stage biopharmaceutical company developing product candidates that precisely target proteins that are critical to immune cell maturation and function. We believe our proprietary product candidates have broad potential to address immune mediated diseases, inflammatory diseases and cancers.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lead product candidate, soquelitinib (formerly CPI-818), is designed to bind specifically to a protein, interleukin 2 inducible T cell kinase (“ITK”), involved in T cell activation, T cell receptor signaling and T cell differentiation and function. Based on the proposed mechanism of action, we believe soquelitinib has the potential to be utilized to inhibit the production of a number of inflammatory cytokines involved in diseases such as atopic dermatitis, hidradenitis suppurativa, asthma, psoriasis and fibrotic diseases. In preclinical studies, Soquelitinib has affected T cell differentiation leading to enhanced function of T cells involved in tumor cell eradication.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the immune cells targeted by our product candidates play a role in many diseases, our strategy is to leverage our research and development capabilities by evaluating our product candidates in clinical trials where there is an understanding of the role of specific T cells in the target indication and where we believe such product candidates have the broadest potential. We believe this strategy has enabled us to move rapidly from preclinical to clinical trials in diverse disease areas, each with large unmet needs. We are enrolling patients in a potentially registrational Phase 3 clinical trial of soquelitinib for relapsed peripheral T cell lymphomas. Soquelitinib is also being evaluated in a randomized, placebo-controlled Phase 2 trial in patients with atopic dermatitis and a Phase 1b trial in patients with hidradenitis suppurativa.</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Product Candidate Pipeline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Our product candidate pipeline and anticipated milestones include the following:</w:t>
      </w:r>
    </w:p>
    <w:p>
      <w:pPr>
        <w:pStyle w:val="TextBody"/>
        <w:bidi w:val="0"/>
        <w:spacing w:lineRule="auto" w:line="285" w:before="0" w:after="0"/>
        <w:ind w:left="0" w:right="0" w:hanging="0"/>
        <w:jc w:val="left"/>
      </w:pPr>
      <w:r>
        <w:drawing>
          <wp:inline distT="0" distB="0" distL="0" distR="0">
            <wp:extent cx="6163310" cy="2710180"/>
            <wp:effectExtent l="0" t="0" r="0" b="0"/>
            <wp:docPr id="27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 descr=""/>
                    <pic:cNvPicPr>
                      <a:picLocks noChangeAspect="1" noChangeArrowheads="1"/>
                    </pic:cNvPicPr>
                  </pic:nvPicPr>
                  <pic:blipFill>
                    <a:blip r:embed="rId2"/>
                    <a:stretch>
                      <a:fillRect/>
                    </a:stretch>
                  </pic:blipFill>
                  <pic:spPr bwMode="auto">
                    <a:xfrm>
                      <a:off x="0" y="0"/>
                      <a:ext cx="6163310" cy="2710180"/>
                    </a:xfrm>
                    <a:prstGeom prst="rect">
                      <a:avLst/>
                    </a:prstGeom>
                  </pic:spPr>
                </pic:pic>
              </a:graphicData>
            </a:graphic>
          </wp:inline>
        </w:drawing>
      </w:r>
    </w:p>
    <w:p>
      <w:pPr>
        <w:pStyle w:val="TextBody"/>
        <w:bidi w:val="0"/>
        <w:spacing w:lineRule="auto" w:line="285" w:before="0" w:after="0"/>
        <w:ind w:left="0" w:right="0" w:hanging="0"/>
        <w:jc w:val="center"/>
      </w:pPr>
      <w:r>
        <w:t>​</w:t>
      </w:r>
    </w:p>
    <w:tbl>
      <w:tblPr>
        <w:tblW w:w="7746" w:type="dxa"/>
        <w:jc w:val="left"/>
        <w:tblInd w:w="0" w:type="dxa"/>
        <w:tblLayout w:type="fixed"/>
        <w:tblCellMar>
          <w:top w:w="28" w:type="dxa"/>
          <w:left w:w="28" w:type="dxa"/>
          <w:bottom w:w="28" w:type="dxa"/>
          <w:right w:w="28" w:type="dxa"/>
        </w:tblCellMar>
      </w:tblPr>
      <w:tblGrid>
        <w:gridCol w:w="124"/>
        <w:gridCol w:w="271"/>
        <w:gridCol w:w="7351"/>
      </w:tblGrid>
      <w:t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 Phase 1b/2 clinical trial in atopic dermatitis is being conducted by Angel Pharmaceuticals, the Company’s partner in China.</w:t>
            </w:r>
          </w:p>
        </w:tc>
      </w:tr>
    </w:tbl>
    <w:tbl>
      <w:tblPr>
        <w:tblW w:w="10205" w:type="dxa"/>
        <w:jc w:val="left"/>
        <w:tblInd w:w="0" w:type="dxa"/>
        <w:tblLayout w:type="fixed"/>
        <w:tblCellMar>
          <w:top w:w="28" w:type="dxa"/>
          <w:left w:w="28" w:type="dxa"/>
          <w:bottom w:w="28" w:type="dxa"/>
          <w:right w:w="28" w:type="dxa"/>
        </w:tblCellMar>
      </w:tblPr>
      <w:tblGrid>
        <w:gridCol w:w="124"/>
        <w:gridCol w:w="260"/>
        <w:gridCol w:w="9821"/>
      </w:tblGrid>
      <w:tr>
        <w:tc>
          <w:tcPr>
            <w:tcW w:w="124" w:type="dxa"/>
            <w:tcBorders/>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The Company did not conduct Phase 1 studies for these specific indications, but initiated a Phase 1b study for HS and is planning to initiate a Phase 2 study for Asthma, based on the Phase 1 Atopic Dermatitis study.</w:t>
            </w:r>
          </w:p>
        </w:tc>
      </w:tr>
    </w:tbl>
    <w:p>
      <w:pPr>
        <w:pStyle w:val="TextBody"/>
        <w:bidi w:val="0"/>
        <w:spacing w:lineRule="auto" w:line="285" w:before="0" w:after="0"/>
        <w:ind w:left="144"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b/>
          <w:i/>
          <w:sz w:val="20"/>
        </w:rPr>
        <w:t>Soquelitinib (CPI-818), ITK Inhibitor.</w:t>
      </w:r>
      <w:r>
        <w:rPr>
          <w:rFonts w:ascii="Times New Roman;Times;serif" w:hAnsi="Times New Roman;Times;serif"/>
          <w:sz w:val="20"/>
        </w:rPr>
        <w:t xml:space="preserve"> Soquelitinib is an investigational selective, orally bioavailable, covalent inhibitor of ITK. ITK, an enzyme that functions in T cell signaling and differentiation, is expressed predominantly in T cells, which are lymphocytes that play a vital role in immune responses. T cell lymphomas are malignancies of T cells that proliferate and spread throughout the body. These lymphomas often have uncontrolled tonic signaling through the T cell receptor pathway, which involves ITK. Inhibition of ITK with soquelitinib could result in blockade of this signaling pathway and control the growth of the malignancy. In addition, one of the key survival mechanisms of both lymphomas and solid tumors is believed to be the reprogramming of normal T cells to create an environment in the tissues that inhibits an anti-tumor immune response and favors tumor growth. We believe highly selective inhibitors of this enzyme will facilitate induction of normal T cell anti-tumor immunity and may be useful in the treatment of solid tumors as well as lymphomas. A normal functioning immune system maintains balance between inflammation, needed to fight infection or eliminate noxious agents, and suppression of inflammation necessary when the inflammatory signals are eliminated. This balance is restored through the action of T regulatory cells, which dampen inflammatory responses. ITK plays a vital role in the function of these regulatory T cells where it acts to modulate immune responses.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ITK genetic knockout mice, which completely lack expression of ITK, T cells exhibit defects in T helper cell differentiation and cytokine secretion but retain the ability to differentiate into cytotoxic T cells that secrete IL-2 and interferon gamma (“IFNg”), which are the cells responsible for tumor rejection. We believe that skewing T helper cell differentiation to favor cytotoxic T cells, known as Th1 skewing, may be beneficial in treating T cell lymphomas and many other types of cancer. Mice with genetic knock-out of ITK also demonstrate a reduction in Th2 and Th17 cells, which produce the cytokines that are often responsible for autoimmunity and allergy such as interleukin (Il) Il-4, Il-5, Il-13, Il-17 and many others. Recent research by others has shown that ITK also regulates a switch between proinflammatory Th17 cells and suppressive T regulatory cells. Blockade of ITK with soquelitinib has been observed to result in the generation of T regulatory cells that suppress inflammatory responses, which may be important in the treatment of autoimmune and inflammatory diseases.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designed and developed soquelitinib to covalently target the cysteine amino acid residue at position 442 in the ITK protein. We believe this irreversible targeting of ITK has the potential to provide a potent, selective and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prolonged duration of activity without the need for high systemic exposures and thereby improve the therapeutic window. This approach was previously used by our cofounders to generate ibrutinib. Selective inhibition of ITK can block the production and function of Th2 and Th17 helper T cells, potentially leading to a biasing toward the differentiation of naïve T cells into Th1 helper T cells. Th1 cells lead to the generation of killer T cells that can eliminate tumor cells or viral infected cells. Th1 cells produce interferon gamma and tumor necrosis factor that are cytokines known to destroy cancer cells. We believe, based on our preclinical and Phase 1/1b data from our T cell lymphoma clinical trial, that soquelitinib has the potential to rebalance normal immune responses that also could be beneficial for the treatment of certain autoimmune, inflammatory and allergic diseases. Overactive Th2 and Th17 cells are known to play a role in autoimmune, inflammatory and allergic diseases, which can potentially be ameliorated by selective ITK inhibition by blocking Th2 and Th17 function and their production of inflammatory cytokines such as IL4, IL5, IL13, IL17 and others.</w:t>
      </w:r>
    </w:p>
    <w:p>
      <w:pPr>
        <w:pStyle w:val="TextBody"/>
        <w:bidi w:val="0"/>
        <w:spacing w:lineRule="auto" w:line="285" w:before="160" w:after="240"/>
        <w:ind w:left="0" w:right="0" w:firstLine="720"/>
        <w:jc w:val="left"/>
        <w:rPr>
          <w:rFonts w:ascii="Times New Roman;Times;serif" w:hAnsi="Times New Roman;Times;serif"/>
          <w:sz w:val="20"/>
        </w:rPr>
      </w:pPr>
      <w:r>
        <w:rPr>
          <w:rFonts w:ascii="Times New Roman;Times;serif" w:hAnsi="Times New Roman;Times;serif"/>
          <w:sz w:val="20"/>
        </w:rPr>
        <w:t>In December 2024, we and our academic collaborators published results describing the chemistry, enzymology and preclinical anti-tumor activity of soquelitinib in the journal npj Drug Discovery. Key results from the publication include that soquelitinib:</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Selectively bound to and inhibited ITK function while sparing other closely related kinases, including resting lymphocyte kinase.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Inhibited Th2 T cell function and the production of various Th2 cytokines leading to Th1 skewing and production of interferon gamma and tumor necrosis factor, which are important cytokines in tumor rejection. Th2 cytokines have been previously implicated in promoting tumor growth and are also involved in autoimmune and allergic diseases. </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Activated cytotoxic killer cells and increases infiltration of these cells into tumors.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and reversed T cell exhaustion resulting in a more potent and prolonged immune response. T cell exhaustion is often a major reason for resistance to immune checkpoint therapy.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Led to in vivo anti-tumor activity in several mouse tumor models, including colon, renal, melanoma, B cell and T cell tumor.</w:t>
            </w:r>
          </w:p>
        </w:tc>
      </w:tr>
    </w:tbl>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Soquelitinib for treatment of T cell lymphomas.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Soquelitinib is currently being studied both in cancer and in immune mediated diseases. A Phase 1/1b clinical trial was conducted in patients with relapsed T cell lymphomas that was designed to select the optimal dose of soquelitinib and evaluate its safety, pharmacokinetics (“PK”), target occupancy, immunologic effects, biomarkers and efficacy. The study is now complete, however, some of the patients remain on therapy and are continuing to receive follow-up monitoring. The trial enrolled 75 patients (27 in the dose escalation portion and 48 in dose expansion portion) with various T cell lymphomas, including peripheral T cell lymphoma (“PTCL”), T follicular helper cell lymphoma, natural killer cell T cell lymphoma, cutaneous T cell lymphoma, anaplastic large cell lymphoma and adult T cell lymphoma/leukemia. The median number of prior therapies was three (range 1-18), with only 31% achieving an objective response to their most recent prior therapy. In the dose escalation portion, patients received a twice-daily dose of soquelitinib of 100 mg, 200 mg, 400 mg or 600 mg, and the 200 mg twice-daily dose (“200 mg BID”) was selected for the dose expansion portion based on biomarker studies indicating that doses of 200 mg or higher achieved complete occupancy of the ITK target with the drug.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Final data from the Phase 1/1b clinical trial were presented at the American Society of Hematology Annual Meeting (“ASH”) in December 2025 and published online in </w:t>
      </w:r>
      <w:r>
        <w:rPr>
          <w:rFonts w:ascii="Times New Roman;Times;serif" w:hAnsi="Times New Roman;Times;serif"/>
          <w:i/>
          <w:sz w:val="20"/>
        </w:rPr>
        <w:t>Blood</w:t>
      </w:r>
      <w:r>
        <w:rPr>
          <w:rFonts w:ascii="Times New Roman;Times;serif" w:hAnsi="Times New Roman;Times;serif"/>
          <w:sz w:val="20"/>
        </w:rPr>
        <w:t>, the journal of the American Society of Hematology, in August 2026. Key highlights from the data supporting the ongoing registration Phase 3 trial in relapsed/refractory PTCL include:</w:t>
      </w:r>
    </w:p>
    <w:tbl>
      <w:tblPr>
        <w:tblW w:w="9081" w:type="dxa"/>
        <w:jc w:val="left"/>
        <w:tblInd w:w="0" w:type="dxa"/>
        <w:tblLayout w:type="fixed"/>
        <w:tblCellMar>
          <w:top w:w="28" w:type="dxa"/>
          <w:left w:w="28" w:type="dxa"/>
          <w:bottom w:w="28" w:type="dxa"/>
          <w:right w:w="28" w:type="dxa"/>
        </w:tblCellMar>
      </w:tblPr>
      <w:tblGrid>
        <w:gridCol w:w="124"/>
        <w:gridCol w:w="256"/>
        <w:gridCol w:w="870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dose limiting toxicities or significant adverse events were observed in any patients in all dose cohorts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7029" w:type="dxa"/>
        <w:jc w:val="left"/>
        <w:tblInd w:w="0" w:type="dxa"/>
        <w:tblLayout w:type="fixed"/>
        <w:tblCellMar>
          <w:top w:w="28" w:type="dxa"/>
          <w:left w:w="28" w:type="dxa"/>
          <w:bottom w:w="28" w:type="dxa"/>
          <w:right w:w="28" w:type="dxa"/>
        </w:tblCellMar>
      </w:tblPr>
      <w:tblGrid>
        <w:gridCol w:w="124"/>
        <w:gridCol w:w="109"/>
        <w:gridCol w:w="6796"/>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600 mg twice-daily, including no myelosuppression or immunosuppression;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Objective and durable tumor responses were seen in the 200 mg twice-daily cohort (N=36) with 6 patients experiencing complete responses;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200 mg twice-daily cohort, it was determined that patients with between ≥1 and ≤3 prior therapies and an adequate peripheral blood lymphocyte count (N=24) were most likely to be responders to therapy. In this patient population:</w:t>
            </w:r>
          </w:p>
        </w:tc>
      </w:tr>
    </w:tbl>
    <w:tbl>
      <w:tblPr>
        <w:tblW w:w="9021" w:type="dxa"/>
        <w:jc w:val="left"/>
        <w:tblInd w:w="0" w:type="dxa"/>
        <w:tblLayout w:type="fixed"/>
        <w:tblCellMar>
          <w:top w:w="28" w:type="dxa"/>
          <w:left w:w="28" w:type="dxa"/>
          <w:bottom w:w="28" w:type="dxa"/>
          <w:right w:w="28" w:type="dxa"/>
        </w:tblCellMar>
      </w:tblPr>
      <w:tblGrid>
        <w:gridCol w:w="124"/>
        <w:gridCol w:w="226"/>
        <w:gridCol w:w="8671"/>
      </w:tblGrid>
      <w:t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Objective responses were seen in 9 of 24 patients including 6 complete responses and 3 partial responses;</w:t>
            </w:r>
          </w:p>
        </w:tc>
      </w:tr>
    </w:tbl>
    <w:tbl>
      <w:tblPr>
        <w:tblW w:w="8481" w:type="dxa"/>
        <w:jc w:val="left"/>
        <w:tblInd w:w="0" w:type="dxa"/>
        <w:tblLayout w:type="fixed"/>
        <w:tblCellMar>
          <w:top w:w="28" w:type="dxa"/>
          <w:left w:w="28" w:type="dxa"/>
          <w:bottom w:w="28" w:type="dxa"/>
          <w:right w:w="28" w:type="dxa"/>
        </w:tblCellMar>
      </w:tblPr>
      <w:tblGrid>
        <w:gridCol w:w="124"/>
        <w:gridCol w:w="226"/>
        <w:gridCol w:w="8131"/>
      </w:tblGrid>
      <w:t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Median progression free survival (“PFS”) was 6.2 months, including an 18-month PFS of 30%; and</w:t>
            </w:r>
          </w:p>
        </w:tc>
      </w:tr>
    </w:tbl>
    <w:tbl>
      <w:tblPr>
        <w:tblW w:w="7206" w:type="dxa"/>
        <w:jc w:val="left"/>
        <w:tblInd w:w="0" w:type="dxa"/>
        <w:tblLayout w:type="fixed"/>
        <w:tblCellMar>
          <w:top w:w="28" w:type="dxa"/>
          <w:left w:w="28" w:type="dxa"/>
          <w:bottom w:w="28" w:type="dxa"/>
          <w:right w:w="28" w:type="dxa"/>
        </w:tblCellMar>
      </w:tblPr>
      <w:tblGrid>
        <w:gridCol w:w="124"/>
        <w:gridCol w:w="226"/>
        <w:gridCol w:w="6856"/>
      </w:tblGrid>
      <w:t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6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Median overall survival (“OS”) was 28.1 months, including a 24-month OS of 67%</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Key highlights from the data supporting soquelitinib’s proposed mechanism of action (Th1 skewing and blocking Th2 and Th17 differentiation) and development in immune and inflammatory diseases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vitro studies demonstrated that at appropriate doses, soquelitinib produced Th1 skewing, which is an immunologic property resulting from the blockade of Th2 differentiation and a shift to Th1;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Biomarker studies evaluating blood samples and tumor biopsies showed an increase in Th1 in blood and tumor samples and a reduction in serum IL-5, consistent with inhibiting Th2 and Th17 cells;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six patients, paired tumor biopsies were compared at baseline and day 8 and showed an increase in intratumor Th1 cells with treatment analyzed using RNA sequencing.</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August 2023, we completed an End-of-Phase/Pre-Phase 3 meeting with the Food and Drug Administration (“FDA”) regarding our plans to conduct a potentially registrational Phase 3 clinical trial of soquelitinib in relapsed PTCL. The FDA provided feedback on our proposed registration trial, including the proposed endpoints. We initiated this clinical trial in the third quarter of 2024. The clinical trial is designed to enroll a total of 150 patients with relapsed PTCL that have received ≥ 1 prior therapy and≤3 prior therapies. Patients are being randomized 1:1 to soquelitinib 200 mg two-times a day or one of the standard of care chemotherapies. The standard of care agent is selected based on the physician’s choice of either belinostat or pralatrexate. The primary endpoint is progression-free survival. Secondary endpoints include objective response rate, overall survival and duration of response. The study permits patients receiving the standard chemotherapy to cross-over to the soquelitinib treatment arm after disease progression is documented. An interim futility analysis is planned after a defined number of progression events occurs. It is anticipated that this will occur sometime in early 2027. Leading academic and private medical centers with significant experience in lymphoma research are participating in the trial, including investigators who have conducted other Phase 3 clinical trials in T cell lymphoma and authored many peer-reviewed articles on lymphomas. There are currently no FDA fully approved agents for the treatment of relapsed PTCL.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FDA has granted Fast Track designation to soquelitinib for the treatment of adult patients with relapsed or refractory PTCL after at least two lines of systemic therapy. In addition to Fast Track designation, soquelitinib has also been granted FDA orphan drug designation for the treatment of T cell lymphoma.</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Soquelitinib for treatment of atopic dermatitis.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2023, we announced the posting of preclinical data on soquelitinib in bioRxiv that demonstrated that ITK’s selective inhibition produced therapeutic benefits in several autoimmune and allergy preclinical models, including psoriasis, asthma, pulmonary fibrosis, scleroderma and graft versus host disease. The mechanism of action involves the inhibition of Th2 and Th17 cells and their subsequent production of cytokines such as IL-4, IL-5, IL-17 and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other cytokines involved in these diseases. The novel mechanism is a result of ITK inhibition and blockade of formation of Th2 and Th17 cells.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April 2024, we initiated a randomized, double-blind, placebo-controlled Phase 1 clinical trial with soquelitinib in patients with moderate to severe atopic dermatitis that previously failed one prior topical or systemic therapy. The clinical trial was planned to enroll 64 patients into one of four dosing cohorts in a 3:1 ratio (12 active and 4 placebo) to receive either soquelitinib or placebo. The cohorts were designed to sequentially enroll and to examine 100 mg oral twice per day, 200 mg oral once per day, 200 mg oral twice per day and 400 mg oral once per day. Patients would be treated for 28 days and are then followed for an additional 30 days with no therapy. The primary endpoints included safety and tolerability, and efficacy, measured by improvement in Eczema Area and Severity Index (“EASI”) score, Investigator Global Assessment (“IGA”), reduction in itch and various cytokine biomarkers. EASI scores are also evaluated by the percent of patients that achieve a specified percent reduction in EASI score – EASI 50 for patients that achieved a 50% reduction; EASI 75 for a 75% reduction; and EASI 90 for a 90% reduction.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May 6, 2025, enrollment into cohorts 1, 2 and 3 had been completed and we reported interim data for a total of 48 patients. These data covered 32 patients receiving soquelitinib and 12 receiving placebo with 28-day follow-up, and four additional patients receiving soquelitinib with 15-day follow-up from cohort 3. These four patients had not yet completed the 28-day treatment course. The percent reduction in mean EASI scores at 28 days for the combined cohort 1 and 2 group was 54.6% for patients receiving soquelitinib and 30.6% for patients receiving placebo. In cohort 3, the 200 mg BID cohort, the percent reduction in mean EASI score at 28 days was 71.1% for patients receiving soquelitinib and 42.1% for patients receiving placebo. Based on the encouraging results from cohorts 1-3, cohort 4 was prospectively redesigned to support and potentially extend the clinical results obtained in the initial cohorts. Cohort 4 was expanded to enroll 24 patients randomized 1:1 to receive soquelitinib 200 mg BID (the same dose as cohort 3) or placebo, and the treatment period was extended to 56 days from the 28-day treatment period used for cohorts 1-3.</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January 20, 2026, we announced positive results from cohort 4 of our randomized, blinded, placebo-controlled Phase 1 clinical trial evaluating soquelitinib in patients with moderate to severe atopic dermatitis. The cohort 4 data demonstrated favorable safety and efficacy results consistent with results from cohorts 1-3, including a deepening of responses in cohort 4 over the 8-week treatment period compared to the 4-week treatment period. The results also showed clinical activity in patients who had received prior systemic therapies, including patients resistant to therapies like dupilumab and JAK inhibitors.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January 15, 2026, enrollment in cohort 4 was completed and all soquelitinib treated patients (n=12) had completed the 56-day treatment course. Of the 12 enrolled placebo patients, 10 were evaluable at day 56, as two patients were non-compliant and missed the day 56 visit; these two patients completed additional follow up at later time points. Patients in cohort 4 had similar baseline characteristics compared to patients in cohort 3, with patients in these cohorts having more advanced disease with a higher mean baseline EASI score compared to patients in cohorts 1 and 2. The mean baseline EASI in cohort 4 was 25.7 for the patients treated with soquelitinib and 21.9 for patients that received placebo. Across all four cohorts (n=72), 35% of patients had received prior systemic therapies (n=25), including 50% of patients (n=12) in cohort 4. Overall, all four cohorts showed meaningful responses in the soquelitinib treatment groups compared to placebo for clinically significant endpoints of EASI 75 and IGA 0 or 1.</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At day 56, the mean percent reduction in EASI for patients receiving soquelitinib in cohort 4 (n=12) was 72%, compared to 40% for patients receiving placebo (n=10). The kinetics of response demonstrated continuous improvement from day 28 to day 56 with widening separation of the response curve compared to the placebo. Two placebo patients experienced disease flares requiring therapy during the 56-day treatment period compared to none in the soquelitinib group.</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Final data was presented at the Society for Investigative Dermatology (“SID”) Annual Meeting in May 2026. Figure 1 below summarizes the efficacy results for cohorts 1 through 4 evaluating EASI 75, EASI 90 and IGA 0 or 1. Cohort 3 and 4 results appear similar, with cohort 4 exhibiting higher frequency of EASI 75 and 90. EASI 75, EASI 90 and IGA 0 or 1 for cohort 4 was achieved in 75%, 25% and 33% of patients receiving soquelitinib, respectively, compared to 20%, 0% and 0%, respectively, for the placebo group. </w:t>
      </w:r>
    </w:p>
    <w:p>
      <w:pPr>
        <w:pStyle w:val="TextBody"/>
        <w:bidi w:val="0"/>
        <w:spacing w:lineRule="auto" w:line="285" w:before="0" w:after="0"/>
        <w:ind w:left="0" w:right="0" w:hanging="0"/>
        <w:jc w:val="left"/>
      </w:pPr>
      <w: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Figure 1: Percent Patients Achieving Endpoints EASI 75, EASI 90 and IGA 0 or 1 at Day 28 (cohorts 1-3) or at Day 56 (cohort 4) of Treatment.</w:t>
      </w:r>
    </w:p>
    <w:p>
      <w:pPr>
        <w:pStyle w:val="TextBody"/>
        <w:bidi w:val="0"/>
        <w:spacing w:lineRule="auto" w:line="285" w:before="0" w:after="0"/>
        <w:ind w:left="0" w:right="0" w:hanging="0"/>
        <w:jc w:val="left"/>
      </w:pPr>
      <w:r>
        <w:drawing>
          <wp:inline distT="0" distB="0" distL="0" distR="0">
            <wp:extent cx="5943600" cy="2714625"/>
            <wp:effectExtent l="0" t="0" r="0" b="0"/>
            <wp:docPr id="27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 descr=""/>
                    <pic:cNvPicPr>
                      <a:picLocks noChangeAspect="1" noChangeArrowheads="1"/>
                    </pic:cNvPicPr>
                  </pic:nvPicPr>
                  <pic:blipFill>
                    <a:blip r:embed="rId3"/>
                    <a:stretch>
                      <a:fillRect/>
                    </a:stretch>
                  </pic:blipFill>
                  <pic:spPr bwMode="auto">
                    <a:xfrm>
                      <a:off x="0" y="0"/>
                      <a:ext cx="5943600" cy="2714625"/>
                    </a:xfrm>
                    <a:prstGeom prst="rect">
                      <a:avLst/>
                    </a:prstGeom>
                  </pic:spPr>
                </pic:pic>
              </a:graphicData>
            </a:graphic>
          </wp:inline>
        </w:drawing>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Figure 2 below shows the kinetics of response for cohort 4 patients receiving soquelitinib and placebo. Separation of the curves was seen at the first visit on day 15 and continuously increased out to day 56. At day 56, the difference in the curves is statistically significant, p=0.035. The disease control continued in the 30-day post treatment follow up period.</w:t>
      </w:r>
    </w:p>
    <w:p>
      <w:pPr>
        <w:pStyle w:val="TextBody"/>
        <w:bidi w:val="0"/>
        <w:spacing w:lineRule="auto" w:line="285" w:before="0" w:after="0"/>
        <w:ind w:left="0" w:right="0" w:hanging="0"/>
        <w:jc w:val="left"/>
      </w:pPr>
      <w: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sz w:val="20"/>
        </w:rPr>
        <w:t>Figure 2: Percent Reduction in Mean EASI for Cohort 4.</w:t>
      </w:r>
      <w:r>
        <w:rPr>
          <w:rFonts w:ascii="Times New Roman;Times;serif" w:hAnsi="Times New Roman;Times;serif"/>
          <w:sz w:val="20"/>
        </w:rPr>
        <w:t xml:space="preserve"> </w:t>
      </w:r>
      <w:r>
        <w:rPr>
          <w:rFonts w:ascii="Times New Roman;Times;serif" w:hAnsi="Times New Roman;Times;serif"/>
          <w:i/>
          <w:sz w:val="20"/>
        </w:rPr>
        <w:t>Mean percent change in EASI over time is shown. Treatment beginning is designated “Baseline” and days post-baseline are shown. Screening to baseline data are shown and demonstrate relative disease stability. The study blinding remained in effect for the entire 86-day period. Numbers at the top of the graphs indicate numbers of patients evaluated at the various time points.</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pPr>
      <w:r>
        <w:drawing>
          <wp:inline distT="0" distB="0" distL="0" distR="0">
            <wp:extent cx="6162675" cy="3400425"/>
            <wp:effectExtent l="0" t="0" r="0" b="0"/>
            <wp:docPr id="28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3" descr=""/>
                    <pic:cNvPicPr>
                      <a:picLocks noChangeAspect="1" noChangeArrowheads="1"/>
                    </pic:cNvPicPr>
                  </pic:nvPicPr>
                  <pic:blipFill>
                    <a:blip r:embed="rId4"/>
                    <a:stretch>
                      <a:fillRect/>
                    </a:stretch>
                  </pic:blipFill>
                  <pic:spPr bwMode="auto">
                    <a:xfrm>
                      <a:off x="0" y="0"/>
                      <a:ext cx="6162675" cy="3400425"/>
                    </a:xfrm>
                    <a:prstGeom prst="rect">
                      <a:avLst/>
                    </a:prstGeom>
                  </pic:spPr>
                </pic:pic>
              </a:graphicData>
            </a:graphic>
          </wp:inline>
        </w:drawing>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Figure 3A and 3B below show the response curves for soquelitinib and placebo patients across all patients in cohorts 1-4 and in patients in cohorts 3-4 only, also segmented into sub-groups by those who had or had not received prior systemic therapies. Across all four cohorts, 25 patients (35% of all patients) received prior systemic therapies with dupilumab being the most common prior systemic therapy (n=11). Other prior systemic therapies included JAK inhibitors, corticosteroids and investigational agents. The response curves are nearly identical for soquelitinib treated patients, regardless of their history of prior systemic therapy. Placebo patients who had prior systemic therapy had a lesser reduction in EASI compared to placebo patients who had not received prior systemic therapy. These Phase 1 results show separation of the curves for patients receiving soquelitinib compared to placebo and demonstrate that soquelitinib was similarly active in both systemic treatment naïve or experienced patients. Also, prior systemic therapy experienced patients appeared to have worse disease. The two placebo patients who achieved EASI 75 had not received prior systemic therapy. None of the seven placebo patients who had received prior systemic therapy achieved EASI 75 or EASI 50; whereas, three of the five soquelitinib treated patients who received prior systemic therapy achieved EASI 75.</w:t>
      </w:r>
    </w:p>
    <w:p>
      <w:pPr>
        <w:pStyle w:val="TextBody"/>
        <w:bidi w:val="0"/>
        <w:spacing w:lineRule="auto" w:line="285" w:before="0" w:after="0"/>
        <w:ind w:left="0" w:right="0" w:hanging="0"/>
        <w:jc w:val="left"/>
      </w:pPr>
      <w: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sz w:val="20"/>
        </w:rPr>
        <w:t>Figure 3A, 3B: Percent Reduction in Mean EASI for Cohorts 1-4– Breakout of Patients with or without Prior Systemic Therapy</w:t>
      </w:r>
      <w:r>
        <w:rPr>
          <w:rFonts w:ascii="Times New Roman;Times;serif" w:hAnsi="Times New Roman;Times;serif"/>
          <w:b/>
          <w:i/>
          <w:sz w:val="20"/>
        </w:rPr>
        <w:t>.</w:t>
      </w:r>
      <w:r>
        <w:rPr>
          <w:rFonts w:ascii="Times New Roman;Times;serif" w:hAnsi="Times New Roman;Times;serif"/>
          <w:sz w:val="20"/>
        </w:rPr>
        <w:t xml:space="preserve"> </w:t>
      </w:r>
      <w:r>
        <w:rPr>
          <w:rFonts w:ascii="Times New Roman;Times;serif" w:hAnsi="Times New Roman;Times;serif"/>
          <w:i/>
          <w:sz w:val="20"/>
        </w:rPr>
        <w:t xml:space="preserve">In Figure 3A, mean percent change in EASI over time is shown for all patients in Cohort 1-4 (left) and for those who received prior therapy (right). In Figure 3B, similar analysis is shown for patients in cohort 3 and 4; these patients received the 200 mg twice daily dose. In all charts, treatment beginning is designated “Baseline” and weeks post-baseline are shown. Placebo patients include cohorts 1-4. Soquelitinib cohorts 3 and 4 are combined (200 mg twice daily doses used in both of these cohorts). </w:t>
      </w:r>
    </w:p>
    <w:p>
      <w:pPr>
        <w:pStyle w:val="TextBody"/>
        <w:bidi w:val="0"/>
        <w:spacing w:before="0" w:after="0"/>
        <w:jc w:val="left"/>
      </w:pPr>
      <w:r>
        <w:drawing>
          <wp:inline distT="0" distB="0" distL="0" distR="0">
            <wp:extent cx="5943600" cy="2672080"/>
            <wp:effectExtent l="0" t="0" r="0" b="0"/>
            <wp:docPr id="28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4" descr=""/>
                    <pic:cNvPicPr>
                      <a:picLocks noChangeAspect="1" noChangeArrowheads="1"/>
                    </pic:cNvPicPr>
                  </pic:nvPicPr>
                  <pic:blipFill>
                    <a:blip r:embed="rId5"/>
                    <a:stretch>
                      <a:fillRect/>
                    </a:stretch>
                  </pic:blipFill>
                  <pic:spPr bwMode="auto">
                    <a:xfrm>
                      <a:off x="0" y="0"/>
                      <a:ext cx="5943600" cy="2672080"/>
                    </a:xfrm>
                    <a:prstGeom prst="rect">
                      <a:avLst/>
                    </a:prstGeom>
                  </pic:spPr>
                </pic:pic>
              </a:graphicData>
            </a:graphic>
          </wp:inline>
        </w:drawing>
      </w:r>
    </w:p>
    <w:p>
      <w:pPr>
        <w:pStyle w:val="TextBody"/>
        <w:bidi w:val="0"/>
        <w:jc w:val="left"/>
      </w:pPr>
      <w:r>
        <w:drawing>
          <wp:inline distT="0" distB="0" distL="0" distR="0">
            <wp:extent cx="5943600" cy="2684780"/>
            <wp:effectExtent l="0" t="0" r="0" b="0"/>
            <wp:docPr id="28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5" descr=""/>
                    <pic:cNvPicPr>
                      <a:picLocks noChangeAspect="1" noChangeArrowheads="1"/>
                    </pic:cNvPicPr>
                  </pic:nvPicPr>
                  <pic:blipFill>
                    <a:blip r:embed="rId6"/>
                    <a:stretch>
                      <a:fillRect/>
                    </a:stretch>
                  </pic:blipFill>
                  <pic:spPr bwMode="auto">
                    <a:xfrm>
                      <a:off x="0" y="0"/>
                      <a:ext cx="5943600" cy="2684780"/>
                    </a:xfrm>
                    <a:prstGeom prst="rect">
                      <a:avLst/>
                    </a:prstGeom>
                  </pic:spPr>
                </pic:pic>
              </a:graphicData>
            </a:graphic>
          </wp:inline>
        </w:drawing>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Figure 4 below shows longer follow up from cohort 3 patients, who also received the 200 mg twice-daily dose. The data show maintenance or improvement in EASI out to 3 months beyond the treatment period and an increase of circulating Treg cells. The biomarker data suggest that soquelitinib induced an immune system rebalancing involving Treg cells.</w:t>
      </w:r>
    </w:p>
    <w:p>
      <w:pPr>
        <w:pStyle w:val="TextBody"/>
        <w:bidi w:val="0"/>
        <w:spacing w:lineRule="auto" w:line="285" w:before="0" w:after="0"/>
        <w:ind w:left="0" w:right="0" w:hanging="0"/>
        <w:jc w:val="left"/>
      </w:pPr>
      <w: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jc w:val="left"/>
      </w:pPr>
      <w:r>
        <w:drawing>
          <wp:inline distT="0" distB="0" distL="0" distR="0">
            <wp:extent cx="5943600" cy="3268980"/>
            <wp:effectExtent l="0" t="0" r="0" b="0"/>
            <wp:docPr id="28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6" descr=""/>
                    <pic:cNvPicPr>
                      <a:picLocks noChangeAspect="1" noChangeArrowheads="1"/>
                    </pic:cNvPicPr>
                  </pic:nvPicPr>
                  <pic:blipFill>
                    <a:blip r:embed="rId7"/>
                    <a:stretch>
                      <a:fillRect/>
                    </a:stretch>
                  </pic:blipFill>
                  <pic:spPr bwMode="auto">
                    <a:xfrm>
                      <a:off x="0" y="0"/>
                      <a:ext cx="5943600" cy="3268980"/>
                    </a:xfrm>
                    <a:prstGeom prst="rect">
                      <a:avLst/>
                    </a:prstGeom>
                  </pic:spPr>
                </pic:pic>
              </a:graphicData>
            </a:graphic>
          </wp:inline>
        </w:drawing>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sz w:val="20"/>
        </w:rPr>
        <w:t>Figure 4:</w:t>
      </w:r>
      <w:r>
        <w:rPr>
          <w:rFonts w:ascii="Times New Roman;Times;serif" w:hAnsi="Times New Roman;Times;serif"/>
          <w:sz w:val="20"/>
        </w:rPr>
        <w:t xml:space="preserve"> </w:t>
      </w:r>
      <w:r>
        <w:rPr>
          <w:rFonts w:ascii="Times New Roman;Times;serif" w:hAnsi="Times New Roman;Times;serif"/>
          <w:b/>
          <w:sz w:val="20"/>
        </w:rPr>
        <w:t>Percent Reduction in Mean EASI for Cohort 3 and percent change in Treg cells for cohorts 1-3.</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Reduction in serum IL-4 cytokine was observed in cohorts 3 and 4, both during the treatment period and in the post treatment period, including a dose dependent response with cohort 4 patients showing the largest reductions in IL-4 out to day 86. Biomarker data from cohorts 1 through 3 shows a reduction in serum IL-5 cytokine for cohorts 1 through 3 compared to placebo, including a dose dependent response with cohort 3 patients showing the largest reductions in IL-5 compared to placebo. The reduction in serum IL-5 occurred as early as day 8 of therapy. Serum IL-17 and TARC levels also were lower. Circulating Th2 cells were measured (n=6 cohorts 1 and 2) by scRNA seq technology and demonstrated a reduction in these cells with treatment. As noted above, circulating Tregs cells increased in patients in cohort 3 and were associated with a prolonged treatment effect. These results are consistent with soquelitinib’s observed ability to block Th2 and Th17 cells and their secreted cytokines, such as IL-4, IL-5, IL-17 and the effects on T reg cells. This biomarker data suggest that soquelitinib induced an immune system rebalancing involving Th1, Th2, Th17 and Treg cells. </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No new safety signals had been observed. Reported adverse events occurred in 41.7% of soquelitinib patients and 41.7% of placebo patients; all were Grade 1-2 and did not result in any dose modifications or interruptions. No severe or serious adverse events were reported. No significant lab abnormalities were seen.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Biomarker highlights and immunologic studies from the soquelitinib Phase 1 atopic dermatitis clinical trial were also presented at the SID Annual Meeting in May 2026. The results from these studies support soquelitinib’s mechanism of action, including the potential for drug-free remissions:</w:t>
      </w:r>
    </w:p>
    <w:tbl>
      <w:tblPr>
        <w:tblW w:w="7986" w:type="dxa"/>
        <w:jc w:val="left"/>
        <w:tblInd w:w="0" w:type="dxa"/>
        <w:tblLayout w:type="fixed"/>
        <w:tblCellMar>
          <w:top w:w="28" w:type="dxa"/>
          <w:left w:w="28" w:type="dxa"/>
          <w:bottom w:w="28" w:type="dxa"/>
          <w:right w:w="28" w:type="dxa"/>
        </w:tblCellMar>
      </w:tblPr>
      <w:tblGrid>
        <w:gridCol w:w="124"/>
        <w:gridCol w:w="256"/>
        <w:gridCol w:w="760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Blocking Th2 and Th17 function and their related downstream cytokines (IL-4, IL-5, IL-13).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persistent Treg cells, both during treatment and in the post-treatment, drug-free period, by regulating the switch to Treg cells from Th17 cells.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Inhibiting JAK-STAT signaling, upregulating SOCS3 (suppressor of cytokine signaling 3 protein, a negative regulator of JAK-STAT signaling) and reducing JAK1 and STAT6.</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March 2026, we initiated a Phase 2 clinical trial of soquelitinib for the treatment of atopic dermatitis. The trial is anticipated to enroll approximately 200 patients with moderate-to-severe atopic dermatitis that have failed at least one prior topical or systemic therapy. The trial is blinded and is anticipated to enroll four cohorts of 50 patients each, with soquelitinib doses of: 200 mg once per day; 200 mg twice per day; and 400 mg once per day; along with a placebo group. The treatment period is anticipated to be 12 weeks with a 90-day follow-up period with no treatment. The primary endpoint of the trial is the percent change from baseline in EASI score at week 12.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Angel Pharmaceuticals, our partner in China, is enrolling a Phase 1b/2 clinical trial evaluating soquelitinib in patients with moderate-to-severe atopic dermatitis. This is a blinded, placebo-controlled trial that is planned to evaluate a 12-week treatment regimen in 48 patients utilizing soquelitinib doses of 100 mg twice per day, 200 mg once per day, 200 mg twice per day and 400 mg once per day. The patient eligibility and endpoints are similar to those used previously in our Phase 1 clinical trial. Depending on the results from the Phase 1b portion of the study, an additional 60-90 patients will be enrolled in the Phase 2 portion of the study. The trial is open at several leading dermatology centers in China who have been involved in global registration trials. The study is being conducted in close collaboration with Corvus. Enrollment has been completed in cohort 1 (100mg twice per day, 200 mg once per day and placebo) and results are anticipated in the first quarter 2027.</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Soquelitinib for treatment of hidradenitis suppurativa.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September 2026, we initiated a Phase 1b clinical trial with soquelitinib in patients with moderate to severe hidradenitis suppurativa. The trial is designed to enroll up to 25 patients 18 years and older who will receive a soquelitinib dose of 200 mg twice per day for 12 weeks, followed by a 90-day follow-up period with no treatment. The primary endpoint of the trial is safety and tolerability. The key efficacy endpoint is the proportion of patients achieving Hidradenitis Suppurativa Clinical Response (HiSCR) 50/75 at week 12, and the trial will also evaluate skin and blood biomarkers. Initial results from this trial are expected in the first half of 2027.</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Soquelitinib for treatment of other immune diseases.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Based on results from our on-going and completed studies, we are planning to conduct additional clinical trials to evaluate soquelitinib for the treatment of other immune diseases, including a Phase 2 clinical trial in asthma. Start-up activities for this clinical trial has begun and we anticipate it will be initiated in the first quarter of 2027.</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Beyond our current and planned clinical trials for soquelitinib, we also continue to advance our next-generation ITK inhibitor preclinical product candidates, which were designed to deliver precise T-cell modulation that is optimized for specific immunology indications. The next-generation ITK inhibitor candidates are part of our ongoing business development efforts to maximize the potential of our ITK inhibitor programs and other programs.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issued patents covering composition of matter and uses of our ITK inhibitors and hold exclusive worldwide rights (except for greater China) for all indications.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Soquelitinib for treatment of autoimmune lymphoproliferative syndrome.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In March 2025, under a Cooperative Research and Development Agreement, the National Institute of Allergy and Infectious Diseases (NIAID), part of the National Institutes of Health, initiated a Phase 2 clinical trial of soquelitinib for the treatment of patients with autoimmune lymphoproliferative syndrome (ALPS), a rare genetic disease. The trial is designed to enroll up to 30 patients aged 16 or older with confirmed mutations of ALPS-FAS based on genetic testing. Two dosing cohorts will be studied. The patients will receive soquelitinib doses of 200 mg or 400 mg twice per day for a period of up to 360 days. The primary endpoint of the trial is efficacy determined by reductions in splenomegaly and lymph node volumes as measured by computed tomography (CT) or positron emission tomography/computed tomography (PET/CT). Improvements in cytopenias will be assessed by complete blood count. Secondary endpoints include safety and tolerability.</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2026, initial data from the Phase 2 ALPS trial was published in an abstract for the 68th American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Society of Hematology (ASH) Annual Meeting &amp; Exposition. The data as of August 30, 2026 showed positive one-year safety and efficacy data from three patients enrolled in the trial, including a safety profile consistent with results from our soquelitinib T cell lymphoma and atopic dermatitis clinical trials. These patients completed one year of treatment with a 200 mg twice per day dose of soquelitinib. The treatment was well tolerated, with no grade 3 or 4 adverse events and no interruptions in therapy. All three patients were able to discontinue background medications including steroids and reported improvement in ALPS related systemic symptoms.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believe the data supports continued enrollment in the trial and based on the results to-date, we plan to explore longer treatment durations and enroll younger pediatric patients. We are in the process of transferring the investigational new drug (IND) application supporting the Phase 2 trial from the NIAID to Corvus. Upon competition of the transfer, we intend to work with the U.S. Food and Drug Administration (FDA) to expand the trial to additional sites and to include patients ages 12 to 15.</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b/>
          <w:i/>
          <w:sz w:val="20"/>
        </w:rPr>
        <w:t>Ciforadenant Adenosine A2A Receptor Antagonist.</w:t>
      </w:r>
      <w:r>
        <w:rPr>
          <w:rFonts w:ascii="Times New Roman;Times;serif" w:hAnsi="Times New Roman;Times;serif"/>
          <w:sz w:val="20"/>
        </w:rPr>
        <w:t xml:space="preserve"> Our second product candidate, ciforadenant, is an oral, small molecule antagonist of the A2A receptor for adenosine designed to disable a tumor’s ability to subvert attack by the immune system by blocking the binding of immunosuppressive adenosine in the tumor microenvironment to the A2A receptor. In 2018, we published preclinical findings in animal tumor models demonstrating that treatment with anti-CTLA4 antibody combined with ciforadenant provided synergistic anti-tumor activity based on a novel proposed mechanism of action. We are collaborating with the Kidney Cancer Research Consortium to evaluate ciforadenant in an open label Phase 1b/2 clinical trial as a first line therapy for metastatic RCC in combination with ipilimumab (anti-CTLA-4) and nivolumab (anti-PD-1). The efficacy endpoints for the trial are deep response rate, defined as CR plus PRs of greater than 50% tumor volume reduction as well as progression free survival. The clinical trial is planned to enroll up to 60 patients. The protocol defined pre-specified statistical threshold for efficacy is a 50% increase above the 32% deep response rate seen with previous ipilimumab/nivolumab combination trials in RCC conducted by investigators at the Kidney Cancer Research Consortium. Interim results from this trial were reported at the European Society of Clinical Oncology meeting in October 2025. The deep response rate was 34%, demonstrating an improvement compared to historical data for the combination of ipilimumab and nivolumab alone, though not statistically significant. Patients with stable or responding disease continue to be followed. No further trials are planned.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b/>
          <w:i/>
          <w:sz w:val="20"/>
        </w:rPr>
        <w:t>Mupadolimab, B Cell Activating Anti-CD73 Antibody.</w:t>
      </w:r>
      <w:r>
        <w:rPr>
          <w:rFonts w:ascii="Times New Roman;Times;serif" w:hAnsi="Times New Roman;Times;serif"/>
          <w:sz w:val="20"/>
        </w:rPr>
        <w:t xml:space="preserve"> Our third product candidate is mupadolimab, a humanized monoclonal antibody that is designed to react with a specific site on CD73. In both preclinical and in vivo studies, mupadolimab has demonstrated binding to various immune cells and the enhancement of immune responses by activating B cells. While we believe mupadolimab has the potential to be an important new therapeutic agent with a novel proposed mechanism of action to support its development for the treatment of a broad range of cancers and infectious diseases, we are waiting to initiate a potential Phase 2 randomized clinical trial in order to prioritize the development of our lead product candidate.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To date, the majority of our efforts have been focused on the research, development and advancement of soquelitinib, ciforadenant, and mupadolimab, and we have not generated any revenue from product sales and, as a result, we have incurred significant losses. We expect to continue to incur significant research and development and general and administrative expenses related to our operations. Our net loss for the three and nine months ended September 30, 2026 and 2025 was $20.3 million and $52.0 million, respectively. Our net loss for the three and nine months ended September 30, 2025 was $10.2 million and $3.0 million, respectively. Net loss for the nine months ended September 30, 2025 includes non-operating income of $27.1 million associated with a change in fair value of warrant liability. As of September 30, 2026, we had an accumulated deficit of $464.3 million. We expect our losses will increase as we continue our development of, seek regulatory approval for and, if approved, begin to commercialize soquelitinib, ciforadenant and mupadolimab, and as we develop other product candidates. Even if we achieve profitability in the future, we may not be able to sustain profitability in subsequent periods.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our inception and through September 30, 2026, we have funded our operations primarily through the sale and issuance of stock, including through our initial public offering (“IPO”) in March 2016 and subsequent follow-on public offerings, including a follow-on public offering of common stock which was completed on January 23, 2026 and resulted in aggregate net proceeds of approximately $189.4 million.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On August 6, 2024, we entered into an Open Market Sale Agreement</w:t>
      </w:r>
      <w:r>
        <w:rPr>
          <w:rFonts w:ascii="Times New Roman;Times;serif" w:hAnsi="Times New Roman;Times;serif"/>
          <w:sz w:val="15"/>
        </w:rPr>
        <w:t>SM</w:t>
      </w:r>
      <w:r>
        <w:rPr>
          <w:rFonts w:ascii="Times New Roman;Times;serif" w:hAnsi="Times New Roman;Times;serif"/>
          <w:sz w:val="20"/>
        </w:rPr>
        <w:t xml:space="preserve"> (the “2024 Sales Agreement”) with Jefferies LLC (“Jefferies”) to sell shares of our common stock, from time-to-time, with aggregate gross sales proceeds of up to $100.0 million, through an at-the-market equity offering program under which Jefferies will act as our sales agent. The issuance and sale of shares of common stock pursuant to the 2024 Sales Agreement are deemed an “at-the-market” offering under the Securities Act of 1933, as amended. Jefferies is entitled to compensation for its services of up to 3.0% of the gross proceeds of any shares of common stock sold through Jefferies under the 2024 Sales Agreement.</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January 2026 follow-on public offering, we suspended the at-the-market offering with respect to the 2024 Sales Agreement and, on March 13, 2026, entered into an Amended and Restated Open Market Sale Agreement</w:t>
      </w:r>
      <w:r>
        <w:rPr>
          <w:rFonts w:ascii="Times New Roman;Times;serif" w:hAnsi="Times New Roman;Times;serif"/>
          <w:sz w:val="15"/>
        </w:rPr>
        <w:t>SM</w:t>
      </w:r>
      <w:r>
        <w:rPr>
          <w:rFonts w:ascii="Times New Roman;Times;serif" w:hAnsi="Times New Roman;Times;serif"/>
          <w:sz w:val="20"/>
        </w:rPr>
        <w:t xml:space="preserve"> (the “Amended Sales Agreement”), with Jefferies, which amends and restates the 2024 Sales Agreement to increase the maximum aggregate offering price of shares of our common stock from $100.0 million to $200.0 million.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nine months ended September 30, 2026, we did not sell any shares of common stock under our at-the-market offering program. As of September 30, 2026, $200.0 million remained available for sale under the Amended Sales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three product candidates, soquelitinib, ciforadenant and mupadolimab, are in clinical development by us and/or our partner, Angel Pharmaceuticals. Except for Greater China, we own the world-wide rights to these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a result of our ongoing development efforts, we anticipate needing to spend substantial resources for the foreseeable future. Consequently,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Such financing could result in dilution to stockholders and may include the imposition of debt covenants and repayment obligations or other restrictions that may affect our business. If we raise additional capital through strategic collaboration agreements, we may have to relinquish valuable rights to our product candidates, including potential future revenue streams. Adequate additional financing may not be available to us on acceptable terms, or at all. For example, the trading prices for our and other biopharmaceutical companies’ stock have been highly volatile as a result of factors such as the impacts of pandemics and increases in inflation rates or interest rates or the broad imposition of tariffs and other trade controls. As a result, we may face difficulties raising capital through sales of our common stock and any such sales may be on unfavorable terms. Our inability to raise capital as and when needed would have a negative impact on our financial condition and our ability to pursue our business strategy. We will need to generate significant revenue to achieve profitability, and we may never do so.</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September 30, 2026, we had capital resources consisting of cash, cash equivalents and marketable securities of approximately $202.9 million. Based on our currently available cash resources and our currently planned level of operations and cash flows, we expect that our cash resources will be sufficient to enable us to advance our programs into the second quarter of 2028. In accordance with applicable accounting standards, we evaluated whether there are conditions and events, considered in the aggregate, that raise substantial doubt about our ability to continue as a going concern for at least the next 12 months from the date of the issuance of the condensed consolidated financial statements included elsewhere in this Quarterly Report on Form 10-Q and concluded that our existing cash, cash equivalents and marketable securities are sufficient to fund our operations for at least the next 12 months from issuance of the condensed consolidated financial statements. However, the Company will need to continue to raise additional capital to fund its operations. See “Risk Factors—Risks Related to Our Limited Operating History, Financial Condition and Need for Additional Capital.”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currently have no manufacturing capabilities and do not intend to establish any such capabilities. We have no commercial manufacturing facilities for our product candidates. As such, we are dependent on third parties to supply our product candidates according to our specifications, in sufficient quantities, on time, in compliance with appropriate regulatory standards and at competitive prices.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Significant Accounting Policies</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significant accounting policies are described in Note 2 to our consolidated financial statements for the year ended December 31, 2025 included in our Annual Report on Form 10-K filed with the SEC on March 12, 2026. There have been no material changes to our significant accounting policies during the nine months ended September 30, 2026 from those discussed in our Annual Report on Form 10-K.</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Components of Results of Operations</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To date, we have not generated any revenues. We do not expect to receive any revenues from any product candidates that we develop unless and until we obtain regulatory approval and commercialize our products or enter into revenue-generating collaboration agreements with third parties.</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Our research and development expenses consist primarily of costs incurred to conduct research and development of our product candidates. We record research and development expenses as incurred. Research and development expenses include:</w:t>
      </w:r>
    </w:p>
    <w:p>
      <w:pPr>
        <w:pStyle w:val="TextBody"/>
        <w:bidi w:val="0"/>
        <w:spacing w:lineRule="auto" w:line="285" w:before="0" w:after="0"/>
        <w:ind w:left="0" w:right="0" w:hanging="0"/>
        <w:jc w:val="left"/>
      </w:pPr>
      <w:r>
        <w:t>​</w:t>
      </w:r>
    </w:p>
    <w:tbl>
      <w:tblPr>
        <w:tblW w:w="9621" w:type="dxa"/>
        <w:jc w:val="left"/>
        <w:tblInd w:w="0" w:type="dxa"/>
        <w:tblLayout w:type="fixed"/>
        <w:tblCellMar>
          <w:top w:w="28" w:type="dxa"/>
          <w:left w:w="28" w:type="dxa"/>
          <w:bottom w:w="28" w:type="dxa"/>
          <w:right w:w="28" w:type="dxa"/>
        </w:tblCellMar>
      </w:tblPr>
      <w:tblGrid>
        <w:gridCol w:w="124"/>
        <w:gridCol w:w="256"/>
        <w:gridCol w:w="924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benefits, travel and non-cash stock-based compensation expense;</w:t>
            </w:r>
          </w:p>
        </w:tc>
      </w:tr>
    </w:tbl>
    <w:p>
      <w:pPr>
        <w:pStyle w:val="TextBody"/>
        <w:bidi w:val="0"/>
        <w:spacing w:lineRule="auto" w:line="285" w:before="0" w:after="0"/>
        <w:ind w:left="720" w:right="0" w:hanging="0"/>
        <w:jc w:val="left"/>
      </w:pPr>
      <w: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research and development expenses incurred under arrangements with third parties, such as contract research organizations, preclinical testing organizations, contract manufacturing organizations, academic and non-profit institutions and consultants;</w:t>
            </w:r>
          </w:p>
        </w:tc>
      </w:tr>
    </w:tbl>
    <w:p>
      <w:pPr>
        <w:pStyle w:val="TextBody"/>
        <w:bidi w:val="0"/>
        <w:spacing w:lineRule="auto" w:line="285" w:before="0" w:after="0"/>
        <w:ind w:left="720" w:right="0" w:hanging="0"/>
        <w:jc w:val="left"/>
      </w:pPr>
      <w: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to acquire technologies to be used in research and development that have not reached technological feasibility and have no alternative future use;</w:t>
            </w:r>
          </w:p>
        </w:tc>
      </w:tr>
    </w:tbl>
    <w:p>
      <w:pPr>
        <w:pStyle w:val="TextBody"/>
        <w:bidi w:val="0"/>
        <w:spacing w:lineRule="auto" w:line="285" w:before="0" w:after="0"/>
        <w:ind w:left="720" w:right="0" w:hanging="0"/>
        <w:jc w:val="left"/>
      </w:pPr>
      <w:r>
        <w:t>​</w:t>
      </w:r>
    </w:p>
    <w:tbl>
      <w:tblPr>
        <w:tblW w:w="1866" w:type="dxa"/>
        <w:jc w:val="left"/>
        <w:tblInd w:w="0" w:type="dxa"/>
        <w:tblLayout w:type="fixed"/>
        <w:tblCellMar>
          <w:top w:w="28" w:type="dxa"/>
          <w:left w:w="28" w:type="dxa"/>
          <w:bottom w:w="28" w:type="dxa"/>
          <w:right w:w="28" w:type="dxa"/>
        </w:tblCellMar>
      </w:tblPr>
      <w:tblGrid>
        <w:gridCol w:w="124"/>
        <w:gridCol w:w="256"/>
        <w:gridCol w:w="148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fees; and</w:t>
            </w:r>
          </w:p>
        </w:tc>
      </w:tr>
    </w:tbl>
    <w:p>
      <w:pPr>
        <w:pStyle w:val="TextBody"/>
        <w:bidi w:val="0"/>
        <w:spacing w:lineRule="auto" w:line="285" w:before="0" w:after="0"/>
        <w:ind w:left="720" w:right="0" w:hanging="0"/>
        <w:jc w:val="left"/>
      </w:pPr>
      <w:r>
        <w:t>​</w:t>
      </w:r>
    </w:p>
    <w:tbl>
      <w:tblPr>
        <w:tblW w:w="8661" w:type="dxa"/>
        <w:jc w:val="left"/>
        <w:tblInd w:w="0" w:type="dxa"/>
        <w:tblLayout w:type="fixed"/>
        <w:tblCellMar>
          <w:top w:w="28" w:type="dxa"/>
          <w:left w:w="28" w:type="dxa"/>
          <w:bottom w:w="28" w:type="dxa"/>
          <w:right w:w="28" w:type="dxa"/>
        </w:tblCellMar>
      </w:tblPr>
      <w:tblGrid>
        <w:gridCol w:w="124"/>
        <w:gridCol w:w="256"/>
        <w:gridCol w:w="828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which include direct and allocated expenses for laboratory, facilities and other costs.</w:t>
            </w:r>
          </w:p>
        </w:tc>
      </w:tr>
    </w:tbl>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plan to increase our research and development expenses substantially as we continue the development and potential commercialization of our product candidates. Our current planned research and development activities include the following:</w:t>
      </w:r>
    </w:p>
    <w:tbl>
      <w:tblPr>
        <w:tblW w:w="9861" w:type="dxa"/>
        <w:jc w:val="left"/>
        <w:tblInd w:w="0" w:type="dxa"/>
        <w:tblLayout w:type="fixed"/>
        <w:tblCellMar>
          <w:top w:w="28" w:type="dxa"/>
          <w:left w:w="28" w:type="dxa"/>
          <w:bottom w:w="28" w:type="dxa"/>
          <w:right w:w="28" w:type="dxa"/>
        </w:tblCellMar>
      </w:tblPr>
      <w:tblGrid>
        <w:gridCol w:w="124"/>
        <w:gridCol w:w="256"/>
        <w:gridCol w:w="948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enrollment and completion of our ongoing Phase 3 potentially registrational clinical trial for soquelitinib in PTCL;</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enrollment and completion of our Phase 2 clinical trial for soquelitinib in atopic dermatitis;</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enrollment and completion of our Phase 1b clinical trial for soquelitinib in hidradenitis suppurativa;</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potential clinical trial for soquelitinib in asthma;</w:t>
            </w:r>
          </w:p>
        </w:tc>
      </w:tr>
    </w:tbl>
    <w:tbl>
      <w:tblPr>
        <w:tblW w:w="9696" w:type="dxa"/>
        <w:jc w:val="left"/>
        <w:tblInd w:w="0" w:type="dxa"/>
        <w:tblLayout w:type="fixed"/>
        <w:tblCellMar>
          <w:top w:w="28" w:type="dxa"/>
          <w:left w:w="28" w:type="dxa"/>
          <w:bottom w:w="28" w:type="dxa"/>
          <w:right w:w="28" w:type="dxa"/>
        </w:tblCellMar>
      </w:tblPr>
      <w:tblGrid>
        <w:gridCol w:w="124"/>
        <w:gridCol w:w="256"/>
        <w:gridCol w:w="931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potential continuation and expansion of the Phase 2 clinical trial in ALPs currently being conducted by NIAID;</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process development and manufacturing of drug supply of soquelitinib; and</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8241" w:type="dxa"/>
        <w:jc w:val="left"/>
        <w:tblInd w:w="0" w:type="dxa"/>
        <w:tblLayout w:type="fixed"/>
        <w:tblCellMar>
          <w:top w:w="28" w:type="dxa"/>
          <w:left w:w="28" w:type="dxa"/>
          <w:bottom w:w="28" w:type="dxa"/>
          <w:right w:w="28" w:type="dxa"/>
        </w:tblCellMar>
      </w:tblPr>
      <w:tblGrid>
        <w:gridCol w:w="124"/>
        <w:gridCol w:w="256"/>
        <w:gridCol w:w="786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preclinical studies under our other programs in order to select development product candidates.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to our product candidates that are in clinical development, we believe it is important to continue substantial investment in potential new product candidates to build the value of our product candidate pipeline and our business.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Our expenditures on current and future preclinical and clinical development programs are subject to numerous uncertainties related to timing and cost to completion. The duration, costs and timing of clinical trials and development of product candidates will depend on a variety of factors, including many of which are beyond our control. The process of conducting the necessary clinical research to obtain regulatory approval is costly and time consuming, and the successful development of our product candidates is uncertain. The risks and uncertainties associated with our research and development projects are discussed more fully in “Risk Factors.” As a result of these risks and uncertainties, we are unable to determine with any degree of certainty the duration and completion costs of our research and development projects or if, when or to what extent we will generate revenues from the commercialization and sale of any of our product candidates that obtain regulatory approval. We may never succeed in achieving regulatory approval for any of our product candidates.</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include personnel costs, expenses for outside professional services and allocated expenses. Personnel costs consist of salaries, benefits and stock-based compensation. Outside professional services consist of legal, accounting and audit services and other consulting fees. Allocated expenses consist of rent expense related to our office and research and development facility.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expect that our general and administrative expenses will increase in the future as we increase our headcount to support our continued research and development and potential commercialization of one or more of our product candidates.</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i/>
          <w:sz w:val="20"/>
        </w:rPr>
        <w:t>Comparison of the periods below as indicated (in thousands)</w:t>
      </w:r>
      <w:r>
        <w:rPr>
          <w:rFonts w:ascii="Times New Roman;Times;serif" w:hAnsi="Times New Roman;Times;serif"/>
          <w:sz w:val="20"/>
        </w:rPr>
        <w:t>:</w:t>
      </w:r>
    </w:p>
    <w:p>
      <w:pPr>
        <w:pStyle w:val="TextBody"/>
        <w:bidi w:val="0"/>
        <w:spacing w:lineRule="auto" w:line="285"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2281"/>
        <w:gridCol w:w="346"/>
        <w:gridCol w:w="211"/>
        <w:gridCol w:w="765"/>
        <w:gridCol w:w="146"/>
        <w:gridCol w:w="211"/>
        <w:gridCol w:w="765"/>
        <w:gridCol w:w="346"/>
        <w:gridCol w:w="211"/>
        <w:gridCol w:w="765"/>
        <w:gridCol w:w="346"/>
        <w:gridCol w:w="211"/>
        <w:gridCol w:w="765"/>
        <w:gridCol w:w="146"/>
        <w:gridCol w:w="211"/>
        <w:gridCol w:w="765"/>
        <w:gridCol w:w="346"/>
        <w:gridCol w:w="211"/>
        <w:gridCol w:w="765"/>
        <w:gridCol w:w="392"/>
      </w:tblGrid>
      <w:t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448435" cy="175260"/>
                      <wp:effectExtent l="0" t="0" r="0" b="0"/>
                      <wp:wrapNone/>
                      <wp:docPr id="284" name="Frame278"/>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85775" cy="175260"/>
                      <wp:effectExtent l="0" t="0" r="0" b="0"/>
                      <wp:wrapNone/>
                      <wp:docPr id="287" name="Frame281"/>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92710" cy="175260"/>
                      <wp:effectExtent l="0" t="0" r="0" b="0"/>
                      <wp:wrapNone/>
                      <wp:docPr id="288" name="Frame28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85775" cy="175260"/>
                      <wp:effectExtent l="0" t="0" r="0" b="0"/>
                      <wp:wrapNone/>
                      <wp:docPr id="290" name="Frame284"/>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2"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85775" cy="175260"/>
                      <wp:effectExtent l="0" t="0" r="0" b="0"/>
                      <wp:wrapNone/>
                      <wp:docPr id="293" name="Frame287"/>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85775" cy="175260"/>
                      <wp:effectExtent l="0" t="0" r="0" b="0"/>
                      <wp:wrapNone/>
                      <wp:docPr id="296" name="Frame290"/>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92710" cy="175260"/>
                      <wp:effectExtent l="0" t="0" r="0" b="0"/>
                      <wp:wrapNone/>
                      <wp:docPr id="297" name="Frame29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85775" cy="175260"/>
                      <wp:effectExtent l="0" t="0" r="0" b="0"/>
                      <wp:wrapNone/>
                      <wp:docPr id="299" name="Frame293"/>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85775" cy="175260"/>
                      <wp:effectExtent l="0" t="0" r="0" b="0"/>
                      <wp:wrapNone/>
                      <wp:docPr id="302" name="Frame296"/>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48920" cy="175260"/>
                      <wp:effectExtent l="0" t="0" r="0" b="0"/>
                      <wp:wrapNone/>
                      <wp:docPr id="303" name="Frame297"/>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228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209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w:t>
            </w:r>
          </w:p>
        </w:tc>
        <w:tc>
          <w:tcPr>
            <w:tcW w:w="765"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center"/>
            </w:pPr>
            <w:r>
              <w:t>​</w:t>
            </w:r>
          </w:p>
        </w:tc>
        <w:tc>
          <w:tcPr>
            <w:tcW w:w="209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w:t>
            </w:r>
          </w:p>
        </w:tc>
        <w:tc>
          <w:tcPr>
            <w:tcW w:w="765" w:type="dxa"/>
            <w:tcBorders/>
            <w:vAlign w:val="center"/>
          </w:tcPr>
          <w:p>
            <w:pPr>
              <w:pStyle w:val="TableContents"/>
              <w:bidi w:val="0"/>
              <w:spacing w:lineRule="auto" w:line="285" w:before="0" w:after="0"/>
              <w:ind w:left="0" w:right="0" w:hanging="0"/>
              <w:jc w:val="center"/>
            </w:pPr>
            <w:r>
              <w:t>​</w:t>
            </w:r>
          </w:p>
        </w:tc>
        <w:tc>
          <w:tcPr>
            <w:tcW w:w="392" w:type="dxa"/>
            <w:tcBorders/>
            <w:vAlign w:val="center"/>
          </w:tcPr>
          <w:p>
            <w:pPr>
              <w:pStyle w:val="TableContents"/>
              <w:bidi w:val="0"/>
              <w:spacing w:lineRule="auto" w:line="285" w:before="0" w:after="0"/>
              <w:ind w:left="0" w:right="0" w:hanging="0"/>
              <w:jc w:val="left"/>
            </w:pPr>
            <w:r>
              <w:t>​</w:t>
            </w:r>
          </w:p>
        </w:tc>
      </w:tr>
      <w:tr>
        <w:tc>
          <w:tcPr>
            <w:tcW w:w="228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  ​ ​ ​</w:t>
            </w:r>
          </w:p>
        </w:tc>
        <w:tc>
          <w:tcPr>
            <w:tcW w:w="209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lineRule="auto" w:line="285" w:before="0" w:after="0"/>
              <w:ind w:left="0" w:right="0" w:hanging="0"/>
              <w:jc w:val="left"/>
            </w:pPr>
            <w:r>
              <w:t>  ​ ​ ​</w:t>
            </w:r>
          </w:p>
        </w:tc>
        <w:tc>
          <w:tcPr>
            <w:tcW w:w="976" w:type="dxa"/>
            <w:gridSpan w:val="2"/>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center"/>
            </w:pPr>
            <w:r>
              <w:t>  ​ ​ ​</w:t>
            </w:r>
          </w:p>
        </w:tc>
        <w:tc>
          <w:tcPr>
            <w:tcW w:w="209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lineRule="auto" w:line="285" w:before="0" w:after="0"/>
              <w:ind w:left="0" w:right="0" w:hanging="0"/>
              <w:jc w:val="left"/>
            </w:pPr>
            <w:r>
              <w:t>  ​ ​ ​</w:t>
            </w:r>
          </w:p>
        </w:tc>
        <w:tc>
          <w:tcPr>
            <w:tcW w:w="976" w:type="dxa"/>
            <w:gridSpan w:val="2"/>
            <w:tcBorders/>
            <w:vAlign w:val="center"/>
          </w:tcPr>
          <w:p>
            <w:pPr>
              <w:pStyle w:val="TableContents"/>
              <w:bidi w:val="0"/>
              <w:spacing w:lineRule="auto" w:line="285" w:before="0" w:after="0"/>
              <w:ind w:left="0" w:right="0" w:hanging="0"/>
              <w:jc w:val="center"/>
            </w:pPr>
            <w:r>
              <w:t>​</w:t>
            </w:r>
          </w:p>
        </w:tc>
        <w:tc>
          <w:tcPr>
            <w:tcW w:w="392" w:type="dxa"/>
            <w:tcBorders/>
            <w:vAlign w:val="center"/>
          </w:tcPr>
          <w:p>
            <w:pPr>
              <w:pStyle w:val="TableContents"/>
              <w:bidi w:val="0"/>
              <w:spacing w:lineRule="auto" w:line="285" w:before="0" w:after="0"/>
              <w:ind w:left="0" w:right="0" w:hanging="0"/>
              <w:jc w:val="left"/>
            </w:pPr>
            <w:r>
              <w:t>  ​ ​ ​</w:t>
            </w:r>
          </w:p>
        </w:tc>
      </w:tr>
      <w:tr>
        <w:tc>
          <w:tcPr>
            <w:tcW w:w="228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9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lineRule="auto" w:line="285" w:before="0" w:after="0"/>
              <w:ind w:left="0" w:right="0" w:hanging="0"/>
              <w:jc w:val="left"/>
            </w:pPr>
            <w:r>
              <w:t>​</w:t>
            </w:r>
          </w:p>
        </w:tc>
        <w:tc>
          <w:tcPr>
            <w:tcW w:w="9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pPr>
            <w:r>
              <w:t>​</w:t>
            </w:r>
          </w:p>
        </w:tc>
        <w:tc>
          <w:tcPr>
            <w:tcW w:w="9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lineRule="auto" w:line="285" w:before="0" w:after="0"/>
              <w:ind w:left="0" w:right="0" w:hanging="0"/>
              <w:jc w:val="center"/>
            </w:pPr>
            <w:r>
              <w:t>​</w:t>
            </w:r>
          </w:p>
        </w:tc>
        <w:tc>
          <w:tcPr>
            <w:tcW w:w="9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lineRule="auto" w:line="285" w:before="0" w:after="0"/>
              <w:ind w:left="0" w:right="0" w:hanging="0"/>
              <w:jc w:val="left"/>
            </w:pPr>
            <w:r>
              <w:t>​</w:t>
            </w:r>
          </w:p>
        </w:tc>
        <w:tc>
          <w:tcPr>
            <w:tcW w:w="9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pPr>
            <w:r>
              <w:t>​</w:t>
            </w:r>
          </w:p>
        </w:tc>
        <w:tc>
          <w:tcPr>
            <w:tcW w:w="9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92" w:type="dxa"/>
            <w:tcBorders/>
            <w:vAlign w:val="center"/>
          </w:tcPr>
          <w:p>
            <w:pPr>
              <w:pStyle w:val="TableContents"/>
              <w:bidi w:val="0"/>
              <w:spacing w:lineRule="auto" w:line="285" w:before="0" w:after="0"/>
              <w:ind w:left="0" w:right="0" w:hanging="0"/>
              <w:jc w:val="left"/>
            </w:pPr>
            <w:r>
              <w:t>​</w:t>
            </w:r>
          </w:p>
        </w:tc>
      </w:tr>
      <w:tr>
        <w:tc>
          <w:tcPr>
            <w:tcW w:w="2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765" w:type="dxa"/>
            <w:tcBorders/>
            <w:shd w:fill="CCEEFF" w:val="clear"/>
            <w:vAlign w:val="center"/>
          </w:tcPr>
          <w:p>
            <w:pPr>
              <w:pStyle w:val="TableContents"/>
              <w:bidi w:val="0"/>
              <w:spacing w:lineRule="auto" w:line="285" w:before="0" w:after="0"/>
              <w:ind w:left="0" w:right="0" w:hanging="0"/>
              <w:jc w:val="right"/>
            </w:pPr>
            <w:r>
              <w:t>  ​</w:t>
            </w:r>
          </w:p>
        </w:tc>
        <w:tc>
          <w:tcPr>
            <w:tcW w:w="1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765"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765"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765" w:type="dxa"/>
            <w:tcBorders/>
            <w:shd w:fill="CCEEFF" w:val="clear"/>
            <w:vAlign w:val="center"/>
          </w:tcPr>
          <w:p>
            <w:pPr>
              <w:pStyle w:val="TableContents"/>
              <w:bidi w:val="0"/>
              <w:spacing w:lineRule="auto" w:line="285" w:before="0" w:after="0"/>
              <w:ind w:left="0" w:right="0" w:hanging="0"/>
              <w:jc w:val="right"/>
            </w:pPr>
            <w:r>
              <w:t>  ​</w:t>
            </w:r>
          </w:p>
        </w:tc>
        <w:tc>
          <w:tcPr>
            <w:tcW w:w="1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765"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765" w:type="dxa"/>
            <w:tcBorders/>
            <w:shd w:fill="CCEEFF" w:val="clear"/>
            <w:vAlign w:val="center"/>
          </w:tcPr>
          <w:p>
            <w:pPr>
              <w:pStyle w:val="TableContents"/>
              <w:bidi w:val="0"/>
              <w:spacing w:lineRule="auto" w:line="285" w:before="0" w:after="0"/>
              <w:ind w:left="0" w:right="0" w:hanging="0"/>
              <w:jc w:val="right"/>
            </w:pPr>
            <w:r>
              <w:t>  ​</w:t>
            </w:r>
          </w:p>
        </w:tc>
        <w:tc>
          <w:tcPr>
            <w:tcW w:w="392" w:type="dxa"/>
            <w:tcBorders/>
            <w:shd w:fill="CCEEFF" w:val="clear"/>
            <w:vAlign w:val="center"/>
          </w:tcPr>
          <w:p>
            <w:pPr>
              <w:pStyle w:val="TableContents"/>
              <w:bidi w:val="0"/>
              <w:spacing w:lineRule="auto" w:line="285" w:before="0" w:after="0"/>
              <w:ind w:left="0" w:right="0" w:hanging="0"/>
              <w:jc w:val="left"/>
            </w:pPr>
            <w:r>
              <w:t> </w:t>
            </w:r>
          </w:p>
        </w:tc>
      </w:tr>
      <w:tr>
        <w:tc>
          <w:tcPr>
            <w:tcW w:w="22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17,781</w:t>
            </w:r>
          </w:p>
        </w:tc>
        <w:tc>
          <w:tcPr>
            <w:tcW w:w="1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8,454</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9,327</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44,920</w:t>
            </w:r>
          </w:p>
        </w:tc>
        <w:tc>
          <w:tcPr>
            <w:tcW w:w="1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23,780</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21,140</w:t>
            </w:r>
          </w:p>
        </w:tc>
        <w:tc>
          <w:tcPr>
            <w:tcW w:w="392" w:type="dxa"/>
            <w:tcBorders/>
            <w:vAlign w:val="center"/>
          </w:tcPr>
          <w:p>
            <w:pPr>
              <w:pStyle w:val="TableContents"/>
              <w:bidi w:val="0"/>
              <w:spacing w:lineRule="auto" w:line="285" w:before="0" w:after="0"/>
              <w:ind w:left="0" w:right="0" w:hanging="0"/>
              <w:jc w:val="left"/>
            </w:pPr>
            <w:r>
              <w:t>​</w:t>
            </w:r>
          </w:p>
        </w:tc>
      </w:tr>
      <w:tr>
        <w:tc>
          <w:tcPr>
            <w:tcW w:w="2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3,581</w:t>
            </w:r>
          </w:p>
        </w:tc>
        <w:tc>
          <w:tcPr>
            <w:tcW w:w="1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2,118</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1,463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10,616</w:t>
            </w:r>
          </w:p>
        </w:tc>
        <w:tc>
          <w:tcPr>
            <w:tcW w:w="1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6,974</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3,642</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22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21,362</w:t>
            </w:r>
          </w:p>
        </w:tc>
        <w:tc>
          <w:tcPr>
            <w:tcW w:w="1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10,572</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10,790</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55,536</w:t>
            </w:r>
          </w:p>
        </w:tc>
        <w:tc>
          <w:tcPr>
            <w:tcW w:w="1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30,754</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24,782</w:t>
            </w:r>
          </w:p>
        </w:tc>
        <w:tc>
          <w:tcPr>
            <w:tcW w:w="392" w:type="dxa"/>
            <w:tcBorders/>
            <w:vAlign w:val="center"/>
          </w:tcPr>
          <w:p>
            <w:pPr>
              <w:pStyle w:val="TableContents"/>
              <w:bidi w:val="0"/>
              <w:spacing w:lineRule="auto" w:line="285" w:before="0" w:after="0"/>
              <w:ind w:left="0" w:right="0" w:hanging="0"/>
              <w:jc w:val="left"/>
            </w:pPr>
            <w:r>
              <w:t>​</w:t>
            </w:r>
          </w:p>
        </w:tc>
      </w:tr>
      <w:tr>
        <w:tc>
          <w:tcPr>
            <w:tcW w:w="2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7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(21,362)</w:t>
            </w:r>
          </w:p>
        </w:tc>
        <w:tc>
          <w:tcPr>
            <w:tcW w:w="1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7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(10,572)</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7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(10,790)</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7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(55,536)</w:t>
            </w:r>
          </w:p>
        </w:tc>
        <w:tc>
          <w:tcPr>
            <w:tcW w:w="1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7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(30,754)</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7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(24,782)</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22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 and other expense, net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7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1,910</w:t>
            </w:r>
          </w:p>
        </w:tc>
        <w:tc>
          <w:tcPr>
            <w:tcW w:w="1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7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738</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7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1,172</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7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5,741</w:t>
            </w:r>
          </w:p>
        </w:tc>
        <w:tc>
          <w:tcPr>
            <w:tcW w:w="1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7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1,902</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7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3,839</w:t>
            </w:r>
          </w:p>
        </w:tc>
        <w:tc>
          <w:tcPr>
            <w:tcW w:w="392" w:type="dxa"/>
            <w:tcBorders/>
            <w:vAlign w:val="center"/>
          </w:tcPr>
          <w:p>
            <w:pPr>
              <w:pStyle w:val="TableContents"/>
              <w:bidi w:val="0"/>
              <w:spacing w:lineRule="auto" w:line="285" w:before="0" w:after="0"/>
              <w:ind w:left="0" w:right="0" w:hanging="0"/>
              <w:jc w:val="left"/>
            </w:pPr>
            <w:r>
              <w:t>​</w:t>
            </w:r>
          </w:p>
        </w:tc>
      </w:tr>
      <w:tr>
        <w:tc>
          <w:tcPr>
            <w:tcW w:w="2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7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1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pPr>
            <w:r>
              <w:t>—</w:t>
            </w:r>
          </w:p>
        </w:tc>
        <w:tc>
          <w:tcPr>
            <w:tcW w:w="1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27,141</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(27,141)</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22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before equity method investment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(19,452)</w:t>
            </w:r>
          </w:p>
        </w:tc>
        <w:tc>
          <w:tcPr>
            <w:tcW w:w="1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(9,834)</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(9,618)</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(49,795)</w:t>
            </w:r>
          </w:p>
        </w:tc>
        <w:tc>
          <w:tcPr>
            <w:tcW w:w="1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(1,711)</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w:t>
            </w:r>
          </w:p>
        </w:tc>
        <w:tc>
          <w:tcPr>
            <w:tcW w:w="7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(48,084)</w:t>
            </w:r>
          </w:p>
        </w:tc>
        <w:tc>
          <w:tcPr>
            <w:tcW w:w="392" w:type="dxa"/>
            <w:tcBorders/>
            <w:vAlign w:val="center"/>
          </w:tcPr>
          <w:p>
            <w:pPr>
              <w:pStyle w:val="TableContents"/>
              <w:bidi w:val="0"/>
              <w:spacing w:lineRule="auto" w:line="285" w:before="0" w:after="0"/>
              <w:ind w:left="0" w:right="0" w:hanging="0"/>
              <w:jc w:val="left"/>
            </w:pPr>
            <w:r>
              <w:t>​</w:t>
            </w:r>
          </w:p>
        </w:tc>
      </w:tr>
      <w:tr>
        <w:tc>
          <w:tcPr>
            <w:tcW w:w="2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equity method investment</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w:t>
            </w:r>
          </w:p>
        </w:tc>
        <w:tc>
          <w:tcPr>
            <w:tcW w:w="7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(891)</w:t>
            </w:r>
          </w:p>
        </w:tc>
        <w:tc>
          <w:tcPr>
            <w:tcW w:w="1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(568)</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(2,199)</w:t>
            </w:r>
          </w:p>
        </w:tc>
        <w:tc>
          <w:tcPr>
            <w:tcW w:w="1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(1,251)</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7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(948)</w:t>
            </w:r>
          </w:p>
        </w:tc>
        <w:tc>
          <w:tcPr>
            <w:tcW w:w="392" w:type="dxa"/>
            <w:tcBorders/>
            <w:shd w:fill="CCEEFF" w:val="clear"/>
            <w:vAlign w:val="center"/>
          </w:tcPr>
          <w:p>
            <w:pPr>
              <w:pStyle w:val="TableContents"/>
              <w:bidi w:val="0"/>
              <w:spacing w:lineRule="auto" w:line="285" w:before="0" w:after="0"/>
              <w:ind w:left="0" w:right="0" w:hanging="0"/>
              <w:jc w:val="left"/>
            </w:pPr>
            <w:r>
              <w:t>​</w:t>
            </w:r>
          </w:p>
        </w:tc>
      </w:tr>
      <w:tr>
        <w:tc>
          <w:tcPr>
            <w:tcW w:w="22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(20,343)</w:t>
            </w:r>
          </w:p>
        </w:tc>
        <w:tc>
          <w:tcPr>
            <w:tcW w:w="1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(10,157)</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(10,186)</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(51,994)</w:t>
            </w:r>
          </w:p>
        </w:tc>
        <w:tc>
          <w:tcPr>
            <w:tcW w:w="1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(2,962)</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(49,032)</w:t>
            </w:r>
          </w:p>
        </w:tc>
        <w:tc>
          <w:tcPr>
            <w:tcW w:w="392" w:type="dxa"/>
            <w:tcBorders/>
            <w:vAlign w:val="center"/>
          </w:tcPr>
          <w:p>
            <w:pPr>
              <w:pStyle w:val="TableContents"/>
              <w:bidi w:val="0"/>
              <w:spacing w:lineRule="auto" w:line="285" w:before="0" w:after="0"/>
              <w:ind w:left="0" w:right="0" w:hanging="0"/>
              <w:jc w:val="left"/>
            </w:pPr>
            <w:r>
              <w:t>​</w:t>
            </w:r>
          </w:p>
        </w:tc>
      </w:tr>
    </w:tbl>
    <w:p>
      <w:pPr>
        <w:pStyle w:val="TextBody"/>
        <w:bidi w:val="0"/>
        <w:spacing w:lineRule="auto" w:line="285" w:before="0" w:after="0"/>
        <w:ind w:left="0" w:right="0" w:hanging="0"/>
        <w:jc w:val="left"/>
      </w:pPr>
      <w: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expenses for the three and nine months ended September 30, 2026 and 2025 consisted of the following costs by program as well as unallocated employee costs and overhead costs (specific program costs consist solely of external costs) (in thousands):</w:t>
      </w:r>
    </w:p>
    <w:p>
      <w:pPr>
        <w:pStyle w:val="TextBody"/>
        <w:bidi w:val="0"/>
        <w:spacing w:lineRule="auto" w:line="285"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2626"/>
        <w:gridCol w:w="346"/>
        <w:gridCol w:w="211"/>
        <w:gridCol w:w="676"/>
        <w:gridCol w:w="346"/>
        <w:gridCol w:w="211"/>
        <w:gridCol w:w="571"/>
        <w:gridCol w:w="346"/>
        <w:gridCol w:w="211"/>
        <w:gridCol w:w="571"/>
        <w:gridCol w:w="346"/>
        <w:gridCol w:w="211"/>
        <w:gridCol w:w="676"/>
        <w:gridCol w:w="346"/>
        <w:gridCol w:w="211"/>
        <w:gridCol w:w="676"/>
        <w:gridCol w:w="346"/>
        <w:gridCol w:w="211"/>
        <w:gridCol w:w="676"/>
        <w:gridCol w:w="391"/>
      </w:tblGrid>
      <w:t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667510" cy="175260"/>
                      <wp:effectExtent l="0" t="0" r="0" b="0"/>
                      <wp:wrapNone/>
                      <wp:docPr id="304" name="Frame298"/>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29260" cy="175260"/>
                      <wp:effectExtent l="0" t="0" r="0" b="0"/>
                      <wp:wrapNone/>
                      <wp:docPr id="307" name="Frame3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62585" cy="175260"/>
                      <wp:effectExtent l="0" t="0" r="0" b="0"/>
                      <wp:wrapNone/>
                      <wp:docPr id="310" name="Frame30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62585" cy="175260"/>
                      <wp:effectExtent l="0" t="0" r="0" b="0"/>
                      <wp:wrapNone/>
                      <wp:docPr id="313" name="Frame30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315"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29260" cy="175260"/>
                      <wp:effectExtent l="0" t="0" r="0" b="0"/>
                      <wp:wrapNone/>
                      <wp:docPr id="316" name="Frame3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29260" cy="175260"/>
                      <wp:effectExtent l="0" t="0" r="0" b="0"/>
                      <wp:wrapNone/>
                      <wp:docPr id="319" name="Frame3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29260" cy="175260"/>
                      <wp:effectExtent l="0" t="0" r="0" b="0"/>
                      <wp:wrapNone/>
                      <wp:docPr id="322" name="Frame3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48285" cy="175260"/>
                      <wp:effectExtent l="0" t="0" r="0" b="0"/>
                      <wp:wrapNone/>
                      <wp:docPr id="323" name="Frame31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2626"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201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w:t>
            </w:r>
          </w:p>
        </w:tc>
        <w:tc>
          <w:tcPr>
            <w:tcW w:w="571" w:type="dxa"/>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w:t>
            </w:r>
          </w:p>
        </w:tc>
        <w:tc>
          <w:tcPr>
            <w:tcW w:w="212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w:t>
            </w:r>
          </w:p>
        </w:tc>
        <w:tc>
          <w:tcPr>
            <w:tcW w:w="676" w:type="dxa"/>
            <w:tcBorders/>
            <w:vAlign w:val="center"/>
          </w:tcPr>
          <w:p>
            <w:pPr>
              <w:pStyle w:val="TableContents"/>
              <w:bidi w:val="0"/>
              <w:spacing w:lineRule="auto" w:line="285" w:before="0" w:after="0"/>
              <w:ind w:left="0" w:right="0" w:hanging="0"/>
              <w:jc w:val="center"/>
            </w:pPr>
            <w:r>
              <w:t>​</w:t>
            </w:r>
          </w:p>
        </w:tc>
        <w:tc>
          <w:tcPr>
            <w:tcW w:w="391" w:type="dxa"/>
            <w:tcBorders/>
            <w:vAlign w:val="center"/>
          </w:tcPr>
          <w:p>
            <w:pPr>
              <w:pStyle w:val="TableContents"/>
              <w:bidi w:val="0"/>
              <w:spacing w:lineRule="auto" w:line="285" w:before="0" w:after="0"/>
              <w:ind w:left="0" w:right="0" w:hanging="0"/>
              <w:jc w:val="left"/>
            </w:pPr>
            <w:r>
              <w:t>​</w:t>
            </w:r>
          </w:p>
        </w:tc>
      </w:tr>
      <w:tr>
        <w:tc>
          <w:tcPr>
            <w:tcW w:w="2626"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  ​ ​ ​</w:t>
            </w:r>
          </w:p>
        </w:tc>
        <w:tc>
          <w:tcPr>
            <w:tcW w:w="201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lineRule="auto" w:line="285" w:before="0" w:after="0"/>
              <w:ind w:left="0" w:right="0" w:hanging="0"/>
              <w:jc w:val="left"/>
            </w:pPr>
            <w:r>
              <w:t>  ​ ​ ​</w:t>
            </w:r>
          </w:p>
        </w:tc>
        <w:tc>
          <w:tcPr>
            <w:tcW w:w="782" w:type="dxa"/>
            <w:gridSpan w:val="2"/>
            <w:tcBorders/>
            <w:vAlign w:val="center"/>
          </w:tcPr>
          <w:p>
            <w:pPr>
              <w:pStyle w:val="TableContents"/>
              <w:bidi w:val="0"/>
              <w:spacing w:lineRule="auto" w:line="285" w:before="0" w:after="0"/>
              <w:ind w:left="0" w:right="0" w:hanging="0"/>
              <w:jc w:val="center"/>
            </w:pPr>
            <w:r>
              <w:t>​</w:t>
            </w:r>
          </w:p>
        </w:tc>
        <w:tc>
          <w:tcPr>
            <w:tcW w:w="346" w:type="dxa"/>
            <w:tcBorders/>
            <w:vAlign w:val="center"/>
          </w:tcPr>
          <w:p>
            <w:pPr>
              <w:pStyle w:val="TableContents"/>
              <w:bidi w:val="0"/>
              <w:spacing w:lineRule="auto" w:line="285" w:before="0" w:after="0"/>
              <w:ind w:left="0" w:right="0" w:hanging="0"/>
              <w:jc w:val="left"/>
            </w:pPr>
            <w:r>
              <w:t>  ​ ​ ​</w:t>
            </w:r>
          </w:p>
        </w:tc>
        <w:tc>
          <w:tcPr>
            <w:tcW w:w="212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lineRule="auto" w:line="285" w:before="0" w:after="0"/>
              <w:ind w:left="0" w:right="0" w:hanging="0"/>
              <w:jc w:val="left"/>
            </w:pPr>
            <w:r>
              <w:t>  ​ ​ ​</w:t>
            </w:r>
          </w:p>
        </w:tc>
        <w:tc>
          <w:tcPr>
            <w:tcW w:w="887" w:type="dxa"/>
            <w:gridSpan w:val="2"/>
            <w:tcBorders/>
            <w:vAlign w:val="center"/>
          </w:tcPr>
          <w:p>
            <w:pPr>
              <w:pStyle w:val="TableContents"/>
              <w:bidi w:val="0"/>
              <w:spacing w:lineRule="auto" w:line="285" w:before="0" w:after="0"/>
              <w:ind w:left="0" w:right="0" w:hanging="0"/>
              <w:jc w:val="center"/>
            </w:pPr>
            <w:r>
              <w:t>​</w:t>
            </w:r>
          </w:p>
        </w:tc>
        <w:tc>
          <w:tcPr>
            <w:tcW w:w="391" w:type="dxa"/>
            <w:tcBorders/>
            <w:vAlign w:val="center"/>
          </w:tcPr>
          <w:p>
            <w:pPr>
              <w:pStyle w:val="TableContents"/>
              <w:bidi w:val="0"/>
              <w:spacing w:lineRule="auto" w:line="285" w:before="0" w:after="0"/>
              <w:ind w:left="0" w:right="0" w:hanging="0"/>
              <w:jc w:val="left"/>
            </w:pPr>
            <w:r>
              <w:t>  ​ ​ ​</w:t>
            </w:r>
          </w:p>
        </w:tc>
      </w:tr>
      <w:tr>
        <w:tc>
          <w:tcPr>
            <w:tcW w:w="2626"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pPr>
            <w: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pPr>
            <w: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lineRule="auto" w:line="285" w:before="0" w:after="0"/>
              <w:ind w:left="0" w:right="0" w:hanging="0"/>
              <w:jc w:val="left"/>
            </w:pPr>
            <w: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pPr>
            <w: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91" w:type="dxa"/>
            <w:tcBorders/>
            <w:vAlign w:val="center"/>
          </w:tcPr>
          <w:p>
            <w:pPr>
              <w:pStyle w:val="TableContents"/>
              <w:bidi w:val="0"/>
              <w:spacing w:lineRule="auto" w:line="285" w:before="0" w:after="0"/>
              <w:ind w:left="0" w:right="0" w:hanging="0"/>
              <w:jc w:val="left"/>
            </w:pPr>
            <w:r>
              <w:t>​</w:t>
            </w:r>
          </w:p>
        </w:tc>
      </w:tr>
      <w:tr>
        <w:tc>
          <w:tcPr>
            <w:tcW w:w="26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Soquelitinib</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12,518</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5,625</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6,893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30,064</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14,467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15,597</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26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programs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pPr>
            <w:r>
              <w:t> </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91" w:type="dxa"/>
            <w:tcBorders/>
            <w:vAlign w:val="center"/>
          </w:tcPr>
          <w:p>
            <w:pPr>
              <w:pStyle w:val="TableContents"/>
              <w:bidi w:val="0"/>
              <w:spacing w:lineRule="auto" w:line="285" w:before="0" w:after="0"/>
              <w:ind w:left="0" w:right="0" w:hanging="0"/>
              <w:jc w:val="left"/>
            </w:pPr>
            <w:r>
              <w:t>​</w:t>
            </w:r>
          </w:p>
        </w:tc>
      </w:tr>
      <w:tr>
        <w:tc>
          <w:tcPr>
            <w:tcW w:w="26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Unallocated employee and overhead costs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4,964</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2,816</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2,148</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14,095</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8,878</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5,217</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2626"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17,781</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8,454</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9,327</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44,920</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23,780</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21,140</w:t>
            </w:r>
          </w:p>
        </w:tc>
        <w:tc>
          <w:tcPr>
            <w:tcW w:w="391" w:type="dxa"/>
            <w:tcBorders/>
            <w:vAlign w:val="center"/>
          </w:tcPr>
          <w:p>
            <w:pPr>
              <w:pStyle w:val="TableContents"/>
              <w:bidi w:val="0"/>
              <w:spacing w:lineRule="auto" w:line="285" w:before="0" w:after="0"/>
              <w:ind w:left="0" w:right="0" w:hanging="0"/>
              <w:jc w:val="left"/>
            </w:pPr>
            <w:r>
              <w:t>​</w:t>
            </w:r>
          </w:p>
        </w:tc>
      </w:tr>
    </w:tbl>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2026, the increase in soquelitinib costs of $6.9 million as compared to the three months ended September 30, 2025, primarily consisted of an increase of $3.8 million in clinical trial expenses, an increase of $2.8 million in other outside service costs and an increase of $0.3 million in drug manufacturing costs.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nine months ended September 30, 2026, the increase in soquelitinib costs of $15.6 million as compared to the nine months ended September 30, 2025, primarily consisted of an increase of $10.1 million in clinical trial expenses and an increase of $5.9 million in other outside service costs, which were partially offset by a decrease of $0.4 million in drug manufacturing costs.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2026, the increases in other programs of costs of $0.3 million as compared to the three months ended September 30, 2025, primarily consisted of an increase in outside service costs.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nine months ended September 30, 2026, the increases in other programs of costs of $0.3 million as compared to the nine months ended September 30, 2025, primarily consisted of an increase in outside service costs.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2026, the increase in unallocated costs of $2.1 million as compared to the three months ended September 30, 2025, primarily consisted of an increase of $1.6 million in personnel and related costs, an increase of $0.3 million in outside service costs and an increase of $0.2 million in facilities related costs.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nine months ended September 30, 2026, the increase in unallocated costs of $5.2 million as compared to the nine months ended September 30, 2025, primarily consisted of an increase of $4.6 million in personnel and related costs and an increase of $0.6 million in outside service costs.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2026, the increase in general and administrative expenses of $1.5 million as compared to the three months ended September 30, 2025, primarily consisted of an increase of $1.1 million in personnel and related costs and an increase of $0.4 million in outside service costs.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nine months ended September 30, 2026, the increase in general and administrative expenses of $3.6 million as compared to the nine months ended September 30, 2025, primarily consisted of an increase of $3.0 million in personnel and related costs and an increase of $0.6 million in outside service costs.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Interest Income and Other Expense, net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2026, the increase in interest income and other expense, net of $1.2 million as compared to the three months ended September 30, 2025, primarily consisted of an increase in interest income earned due to an increase in cash equivalents and marketable securities.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nine months ended September 30, 2026, the increase in interest income and other expense, net of $3.8 million as compared to the nine months ended September 30, 2025, primarily consisted of an increase in interest income earned due to an increase in cash equivalents and marketable securities.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Change in fair value of warrant liabilities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and nine months ended September 30, 2026, the change in fair value of warrant liability was zero as all common warrants had been exercised as of June 30, 2025.</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Loss from equity method investment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2026, the increase in loss from equity method investment of $0.6 million as compared to the three months ended September 30, 2025, primarily consisted of an increase in Angel Pharmaceuticals’ loss for the three months ended September 30, 2026.</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nine months ended September 30, 2026, the increase in loss from equity method investment of $0.9 million as compared to the nine months ended September 30, 2025, primarily consisted of an increase in Angel Pharmaceuticals’ loss for the nine months ended September 30, 2026.</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September 30, 2026, we had cash, cash equivalents and marketable securities of $202.9 million, and an accumulated deficit of</w:t>
      </w:r>
      <w:r>
        <w:rPr>
          <w:rFonts w:ascii="Times New Roman;Times;serif" w:hAnsi="Times New Roman;Times;serif"/>
          <w:color w:val="FF0000"/>
          <w:sz w:val="20"/>
        </w:rPr>
        <w:t xml:space="preserve"> </w:t>
      </w:r>
      <w:r>
        <w:rPr>
          <w:rFonts w:ascii="Times New Roman;Times;serif" w:hAnsi="Times New Roman;Times;serif"/>
          <w:sz w:val="20"/>
        </w:rPr>
        <w:t>$464.3 million.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our inception and through September 30, 2026, we have funded our operations primarily through the sale and issuance of preferred and common stock, including through our IPO in March 2016, in which we raised net proceeds of approximately $70.6 million, a follow-on offering of our common stock in March 2018, in which we raised net proceeds of approximately $64.9 million, a follow on offering of our common stock in February 2021, in which we raised net proceeds of approximately $32.0 million, and a registered direct offering in May 2024, in which we sold shares of our common stock, pre-funded warrants and common stock warrants for net proceeds of approximately $30.3 million and proceeds of $54.3 million from the exercise of common stock warrants. On January 23, 2026, we completed a follow-on offering of common stock, which resulted in aggregate net proceeds of approximately $189.4 million.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January 2026 follow-on offering, we suspended the at-the-market offering with respect to the 2024 Sales Agreement and, on March 13, 2026, entered into the Amended Sales Agreement, with Jefferies, which amends and restates the 2024 Sales Agreement to increase the maximum aggregate offering price of shares of our common stock from $100.0 million to $200.0 million.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nine months ended September 30, 2026, we did not sell any shares of common stock under our at-the-market offering program. As of September 30, 2026, $200.0 million remained available for sale under the Amended Sales Agreement.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Funding Requirements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Since our inception, we have incurred significant losses and negative cash flows from operations. We have an accumulated deficit of $464.3 million through September 30, 2026. We do not expect positive cash flows from operations in the foreseeable future, if ever. Historically, we have incurred operating losses as a result of ongoing efforts to develop our product candidates, including conducting ongoing research and development, clinical and preclinical studies and providing general and administrative support for these operations. We do not have any products approved for sale, and we do not expect to generate any meaningful revenue unless and until we obtain regulatory approval of and commercialize any of our current and future product candidates and/or enter into additional significant collaboration agreements with third parties, and we do not know when, or if, either will occur. We expect to continue to incur net operating losses for at least the next several years and we expect the losses to increase as we advance soquelitinib, as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well as any other product candidates, through clinical development, seek regulatory approval, prepare for and, if approved, proceed to commercialization and continue our research and development efforts. We are subject to all the risks typically related to the development of new product candidates, and we may encounter unforeseen expenses, difficulties, complications, delays and other unknown factors that may adversely affect our business. We do not yet have a sales organization or commercial infrastructure and, accordingly, we will need to incur significant expenses to develop a sales organization and commercial infrastructure in advance of generating any commercial product sales. Moreover, we incur substantial costs associated with operating as a public company. We anticipate that we will need substantial additional funding in connection with our continuing operations.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Until we can generate a sufficient amount of revenue from the commercialization of our product candidates or from additional significant collaboration or license agreements with third parties, if ever, we expect to finance our future cash needs through private and public equity offerings and potential future collaboration, license and development agreements. Adequate funding may not be available to us on acceptable terms, or at all. If we are unable to raise additional capital in sufficient amounts or on terms acceptable to us, we will be required to significantly reduce our operating expenses and may have to significantly delay, scale back or discontinue the development of one or more of our current or future product candidates. If we raise additional funds by issuing equity or convertible debt securities, it could result in dilution to our existing stockholders and increased fixed payment obligations. In addition, as a condition to providing additional funds to us, future investors may demand, and may be granted, rights superior to those of existing stockholders.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we may have to relinquish valuable rights to our product candidates or grant licenses on terms that are not favorable to us. Any of the foregoing could significantly harm our business, financial condition and prospects.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expect to incur substantial additional losses in the future as we conduct our planned research and development activities. We believe that our existing cash, cash equivalents and marketable securities will be sufficient to fund our planned operating and capital needs into the second quarter of 2028. Our forecast of the period of time through which our financial resources will be adequate to support our operations is a forward-looking statement that involves risks and uncertainties, and actual results could vary materially based on a number of factors.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product candidates, we are unable to estimate the exact amount of our operating capital requirements. Our future capital requirements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progress, timing, costs and results of clinical trials for soquelitinib, including the potentially registrational clinical trial for soquelitinib, and to a lesser extent, the timing, costs and results of the clinical trials for ciforadenant and mupadolimab;</w:t>
            </w:r>
          </w:p>
        </w:tc>
      </w:tr>
    </w:tbl>
    <w:p>
      <w:pPr>
        <w:pStyle w:val="TextBody"/>
        <w:pBdr/>
        <w:bidi w:val="0"/>
        <w:spacing w:lineRule="auto" w:line="285" w:before="0" w:after="0"/>
        <w:ind w:left="720" w:right="0" w:hanging="360"/>
        <w:jc w:val="left"/>
      </w:pPr>
      <w: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progress, costs and results of preclinical and clinical development activities for our other product candidates;</w:t>
            </w:r>
          </w:p>
        </w:tc>
      </w:tr>
    </w:tbl>
    <w:p>
      <w:pPr>
        <w:pStyle w:val="TextBody"/>
        <w:pBdr/>
        <w:bidi w:val="0"/>
        <w:spacing w:lineRule="auto" w:line="285" w:before="0" w:after="0"/>
        <w:ind w:left="720" w:right="0" w:hanging="360"/>
        <w:jc w:val="left"/>
      </w:pPr>
      <w:r>
        <w:t>​</w:t>
      </w:r>
    </w:p>
    <w:tbl>
      <w:tblPr>
        <w:tblW w:w="6936" w:type="dxa"/>
        <w:jc w:val="left"/>
        <w:tblInd w:w="0" w:type="dxa"/>
        <w:tblLayout w:type="fixed"/>
        <w:tblCellMar>
          <w:top w:w="28" w:type="dxa"/>
          <w:left w:w="28" w:type="dxa"/>
          <w:bottom w:w="28" w:type="dxa"/>
          <w:right w:w="28" w:type="dxa"/>
        </w:tblCellMar>
      </w:tblPr>
      <w:tblGrid>
        <w:gridCol w:w="124"/>
        <w:gridCol w:w="256"/>
        <w:gridCol w:w="655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scope of preclinical and clinical programs we decide to pursue;</w:t>
            </w:r>
          </w:p>
        </w:tc>
      </w:tr>
    </w:tbl>
    <w:p>
      <w:pPr>
        <w:pStyle w:val="TextBody"/>
        <w:pBdr/>
        <w:bidi w:val="0"/>
        <w:spacing w:lineRule="auto" w:line="285" w:before="0" w:after="0"/>
        <w:ind w:left="720" w:right="0" w:hanging="360"/>
        <w:jc w:val="left"/>
      </w:pPr>
      <w:r>
        <w:t>​</w:t>
      </w:r>
    </w:p>
    <w:tbl>
      <w:tblPr>
        <w:tblW w:w="9126" w:type="dxa"/>
        <w:jc w:val="left"/>
        <w:tblInd w:w="0" w:type="dxa"/>
        <w:tblLayout w:type="fixed"/>
        <w:tblCellMar>
          <w:top w:w="28" w:type="dxa"/>
          <w:left w:w="28" w:type="dxa"/>
          <w:bottom w:w="28" w:type="dxa"/>
          <w:right w:w="28" w:type="dxa"/>
        </w:tblCellMar>
      </w:tblPr>
      <w:tblGrid>
        <w:gridCol w:w="124"/>
        <w:gridCol w:w="256"/>
        <w:gridCol w:w="874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involved in prosecuting, maintaining and enforcing patent and other intellectual property rights;</w:t>
            </w:r>
          </w:p>
        </w:tc>
      </w:tr>
    </w:tbl>
    <w:p>
      <w:pPr>
        <w:pStyle w:val="TextBody"/>
        <w:pBdr/>
        <w:bidi w:val="0"/>
        <w:spacing w:lineRule="auto" w:line="285" w:before="0" w:after="0"/>
        <w:ind w:left="720" w:right="0" w:hanging="360"/>
        <w:jc w:val="left"/>
      </w:pPr>
      <w:r>
        <w:t>​</w:t>
      </w:r>
    </w:p>
    <w:tbl>
      <w:tblPr>
        <w:tblW w:w="4086" w:type="dxa"/>
        <w:jc w:val="left"/>
        <w:tblInd w:w="0" w:type="dxa"/>
        <w:tblLayout w:type="fixed"/>
        <w:tblCellMar>
          <w:top w:w="28" w:type="dxa"/>
          <w:left w:w="28" w:type="dxa"/>
          <w:bottom w:w="28" w:type="dxa"/>
          <w:right w:w="28" w:type="dxa"/>
        </w:tblCellMar>
      </w:tblPr>
      <w:tblGrid>
        <w:gridCol w:w="124"/>
        <w:gridCol w:w="256"/>
        <w:gridCol w:w="370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regulatory approvals;</w:t>
            </w:r>
          </w:p>
        </w:tc>
      </w:tr>
    </w:tbl>
    <w:p>
      <w:pPr>
        <w:pStyle w:val="TextBody"/>
        <w:pBdr/>
        <w:bidi w:val="0"/>
        <w:spacing w:lineRule="auto" w:line="285" w:before="0" w:after="0"/>
        <w:ind w:left="720" w:right="0" w:hanging="360"/>
        <w:jc w:val="left"/>
      </w:pPr>
      <w: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enhance operational systems and hire additional personnel, including personnel to support development of our product candidates and satisfy our obligations as a public company; and</w:t>
            </w:r>
          </w:p>
        </w:tc>
      </w:tr>
    </w:tbl>
    <w:p>
      <w:pPr>
        <w:pStyle w:val="TextBody"/>
        <w:bidi w:val="0"/>
        <w:spacing w:lineRule="auto" w:line="285" w:before="0" w:after="0"/>
        <w:ind w:left="0" w:right="0" w:hanging="0"/>
        <w:jc w:val="left"/>
      </w:pPr>
      <w:r>
        <w:t>​</w:t>
      </w:r>
    </w:p>
    <w:tbl>
      <w:tblPr>
        <w:tblW w:w="8586" w:type="dxa"/>
        <w:jc w:val="left"/>
        <w:tblInd w:w="0" w:type="dxa"/>
        <w:tblLayout w:type="fixed"/>
        <w:tblCellMar>
          <w:top w:w="28" w:type="dxa"/>
          <w:left w:w="28" w:type="dxa"/>
          <w:bottom w:w="28" w:type="dxa"/>
          <w:right w:w="28" w:type="dxa"/>
        </w:tblCellMar>
      </w:tblPr>
      <w:tblGrid>
        <w:gridCol w:w="124"/>
        <w:gridCol w:w="256"/>
        <w:gridCol w:w="820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described in the section of this Quarterly Report on Form 10-Q entitled “Risk Factors.”</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Summary of Statement of Cash Flows</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cash flows for the periods indicated (in thousands):</w:t>
      </w:r>
    </w:p>
    <w:p>
      <w:pPr>
        <w:pStyle w:val="TextBody"/>
        <w:bidi w:val="0"/>
        <w:spacing w:lineRule="auto" w:line="285" w:before="0" w:after="0"/>
        <w:ind w:left="0" w:right="0" w:hanging="0"/>
        <w:jc w:val="left"/>
      </w:pPr>
      <w:r>
        <w:t>​</w:t>
      </w:r>
    </w:p>
    <w:tbl>
      <w:tblPr>
        <w:tblW w:w="7523" w:type="dxa"/>
        <w:jc w:val="left"/>
        <w:tblInd w:w="0" w:type="dxa"/>
        <w:tblLayout w:type="fixed"/>
        <w:tblCellMar>
          <w:top w:w="0" w:type="dxa"/>
          <w:left w:w="0" w:type="dxa"/>
          <w:bottom w:w="0" w:type="dxa"/>
          <w:right w:w="0" w:type="dxa"/>
        </w:tblCellMar>
      </w:tblPr>
      <w:tblGrid>
        <w:gridCol w:w="4321"/>
        <w:gridCol w:w="346"/>
        <w:gridCol w:w="211"/>
        <w:gridCol w:w="901"/>
        <w:gridCol w:w="346"/>
        <w:gridCol w:w="211"/>
        <w:gridCol w:w="796"/>
        <w:gridCol w:w="391"/>
      </w:tblGrid>
      <w:t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743835" cy="175260"/>
                      <wp:effectExtent l="0" t="0" r="0" b="0"/>
                      <wp:wrapNone/>
                      <wp:docPr id="324" name="Frame318"/>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5"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6"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72135" cy="175260"/>
                      <wp:effectExtent l="0" t="0" r="0" b="0"/>
                      <wp:wrapNone/>
                      <wp:docPr id="327" name="Frame32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8"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9" name="Frame3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05460" cy="175260"/>
                      <wp:effectExtent l="0" t="0" r="0" b="0"/>
                      <wp:wrapNone/>
                      <wp:docPr id="330" name="Frame32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48285" cy="175260"/>
                      <wp:effectExtent l="0" t="0" r="0" b="0"/>
                      <wp:wrapNone/>
                      <wp:docPr id="331" name="Frame32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pPr>
                            <w:r>
                              <w:t>​</w:t>
                            </w:r>
                          </w:p>
                        </w:txbxContent>
                      </v:textbox>
                      <w10:wrap type="none"/>
                    </v:rect>
                  </w:pict>
                </mc:Fallback>
              </mc:AlternateContent>
            </w:r>
          </w:p>
        </w:tc>
      </w:tr>
      <w:tr>
        <w:tc>
          <w:tcPr>
            <w:tcW w:w="432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246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91" w:type="dxa"/>
            <w:tcBorders/>
            <w:vAlign w:val="center"/>
          </w:tcPr>
          <w:p>
            <w:pPr>
              <w:pStyle w:val="TableContents"/>
              <w:bidi w:val="0"/>
              <w:spacing w:lineRule="auto" w:line="285" w:before="0" w:after="0"/>
              <w:ind w:left="0" w:right="0" w:hanging="0"/>
              <w:jc w:val="left"/>
            </w:pPr>
            <w:r>
              <w:t>​</w:t>
            </w:r>
          </w:p>
        </w:tc>
      </w:tr>
      <w:tr>
        <w:tc>
          <w:tcPr>
            <w:tcW w:w="432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  ​ ​ ​</w:t>
            </w:r>
          </w:p>
        </w:tc>
        <w:tc>
          <w:tcPr>
            <w:tcW w:w="246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91" w:type="dxa"/>
            <w:tcBorders/>
            <w:vAlign w:val="center"/>
          </w:tcPr>
          <w:p>
            <w:pPr>
              <w:pStyle w:val="TableContents"/>
              <w:bidi w:val="0"/>
              <w:spacing w:lineRule="auto" w:line="285" w:before="0" w:after="0"/>
              <w:ind w:left="0" w:right="0" w:hanging="0"/>
              <w:jc w:val="left"/>
            </w:pPr>
            <w:r>
              <w:t>  ​ ​ ​</w:t>
            </w:r>
          </w:p>
        </w:tc>
      </w:tr>
      <w:tr>
        <w:tc>
          <w:tcPr>
            <w:tcW w:w="4321" w:type="dxa"/>
            <w:tcBorders/>
            <w:vAlign w:val="center"/>
          </w:tcPr>
          <w:p>
            <w:pPr>
              <w:pStyle w:val="TableContents"/>
              <w:bidi w:val="0"/>
              <w:spacing w:lineRule="auto" w:line="285" w:before="0" w:after="0"/>
              <w:ind w:left="0" w:right="0" w:hanging="0"/>
              <w:jc w:val="left"/>
            </w:pPr>
            <w:r>
              <w:t>​</w:t>
            </w:r>
          </w:p>
        </w:tc>
        <w:tc>
          <w:tcPr>
            <w:tcW w:w="346" w:type="dxa"/>
            <w:tcBorders/>
            <w:vAlign w:val="center"/>
          </w:tcPr>
          <w:p>
            <w:pPr>
              <w:pStyle w:val="TableContents"/>
              <w:bidi w:val="0"/>
              <w:spacing w:lineRule="auto" w:line="285" w:before="0" w:after="0"/>
              <w:ind w:left="0" w:right="0" w:hanging="0"/>
              <w:jc w:val="left"/>
            </w:pPr>
            <w:r>
              <w:t>​</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pPr>
            <w:r>
              <w:t>  ​ ​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pPr>
            <w:r>
              <w:t>​</w:t>
            </w:r>
          </w:p>
        </w:tc>
      </w:tr>
      <w:tr>
        <w:tc>
          <w:tcPr>
            <w:tcW w:w="43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901" w:type="dxa"/>
            <w:tcBorders/>
            <w:shd w:fill="CCEEFF" w:val="clear"/>
            <w:vAlign w:val="center"/>
          </w:tcPr>
          <w:p>
            <w:pPr>
              <w:pStyle w:val="TableContents"/>
              <w:bidi w:val="0"/>
              <w:spacing w:lineRule="auto" w:line="285" w:before="0" w:after="0"/>
              <w:ind w:left="0" w:right="0" w:hanging="0"/>
              <w:jc w:val="right"/>
            </w:pPr>
            <w:r>
              <w:t>  ​</w:t>
            </w:r>
          </w:p>
        </w:tc>
        <w:tc>
          <w:tcPr>
            <w:tcW w:w="346" w:type="dxa"/>
            <w:tcBorders/>
            <w:shd w:fill="CCEEFF" w:val="clear"/>
            <w:vAlign w:val="center"/>
          </w:tcPr>
          <w:p>
            <w:pPr>
              <w:pStyle w:val="TableContents"/>
              <w:bidi w:val="0"/>
              <w:spacing w:lineRule="auto" w:line="285" w:before="0" w:after="0"/>
              <w:ind w:left="0" w:right="0" w:hanging="0"/>
              <w:jc w:val="left"/>
            </w:pPr>
            <w:r>
              <w:t> </w:t>
            </w:r>
          </w:p>
        </w:tc>
        <w:tc>
          <w:tcPr>
            <w:tcW w:w="211" w:type="dxa"/>
            <w:tcBorders/>
            <w:shd w:fill="CCEEFF" w:val="clear"/>
            <w:vAlign w:val="center"/>
          </w:tcPr>
          <w:p>
            <w:pPr>
              <w:pStyle w:val="TableContents"/>
              <w:bidi w:val="0"/>
              <w:spacing w:lineRule="auto" w:line="285" w:before="0" w:after="0"/>
              <w:ind w:left="0" w:right="0" w:hanging="0"/>
              <w:jc w:val="left"/>
            </w:pPr>
            <w:r>
              <w:t>​</w:t>
            </w:r>
          </w:p>
        </w:tc>
        <w:tc>
          <w:tcPr>
            <w:tcW w:w="796" w:type="dxa"/>
            <w:tcBorders/>
            <w:shd w:fill="CCEEFF" w:val="clear"/>
            <w:vAlign w:val="center"/>
          </w:tcPr>
          <w:p>
            <w:pPr>
              <w:pStyle w:val="TableContents"/>
              <w:bidi w:val="0"/>
              <w:spacing w:lineRule="auto" w:line="285" w:before="0" w:after="0"/>
              <w:ind w:left="0" w:right="0" w:hanging="0"/>
              <w:jc w:val="right"/>
            </w:pPr>
            <w:r>
              <w:t>  ​</w:t>
            </w:r>
          </w:p>
        </w:tc>
        <w:tc>
          <w:tcPr>
            <w:tcW w:w="391" w:type="dxa"/>
            <w:tcBorders/>
            <w:shd w:fill="CCEEFF" w:val="clear"/>
            <w:vAlign w:val="center"/>
          </w:tcPr>
          <w:p>
            <w:pPr>
              <w:pStyle w:val="TableContents"/>
              <w:bidi w:val="0"/>
              <w:spacing w:lineRule="auto" w:line="285" w:before="0" w:after="0"/>
              <w:ind w:left="0" w:right="0" w:hanging="0"/>
              <w:jc w:val="left"/>
            </w:pPr>
            <w:r>
              <w:t> </w:t>
            </w:r>
          </w:p>
        </w:tc>
      </w:tr>
      <w:tr>
        <w:tc>
          <w:tcPr>
            <w:tcW w:w="43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(37,987)</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(23,606)</w:t>
            </w:r>
          </w:p>
        </w:tc>
        <w:tc>
          <w:tcPr>
            <w:tcW w:w="391" w:type="dxa"/>
            <w:tcBorders/>
            <w:vAlign w:val="center"/>
          </w:tcPr>
          <w:p>
            <w:pPr>
              <w:pStyle w:val="TableContents"/>
              <w:bidi w:val="0"/>
              <w:spacing w:lineRule="auto" w:line="285" w:before="0" w:after="0"/>
              <w:ind w:left="0" w:right="0" w:hanging="0"/>
              <w:jc w:val="left"/>
            </w:pPr>
            <w:r>
              <w:t>​</w:t>
            </w:r>
          </w:p>
        </w:tc>
      </w:tr>
      <w:tr>
        <w:tc>
          <w:tcPr>
            <w:tcW w:w="43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(143,293)</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shd w:fill="CCEEFF" w:val="clear"/>
            <w:vAlign w:val="center"/>
          </w:tcPr>
          <w:p>
            <w:pPr>
              <w:pStyle w:val="TableContents"/>
              <w:bidi w:val="0"/>
              <w:spacing w:lineRule="auto" w:line="285" w:before="0" w:after="0"/>
              <w:ind w:left="0" w:right="0" w:hanging="0"/>
              <w:jc w:val="left"/>
            </w:pPr>
            <w:r>
              <w:t> </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(18,676)</w:t>
            </w:r>
          </w:p>
        </w:tc>
        <w:tc>
          <w:tcPr>
            <w:tcW w:w="391" w:type="dxa"/>
            <w:tcBorders/>
            <w:shd w:fill="CCEEFF" w:val="clear"/>
            <w:vAlign w:val="center"/>
          </w:tcPr>
          <w:p>
            <w:pPr>
              <w:pStyle w:val="TableContents"/>
              <w:bidi w:val="0"/>
              <w:spacing w:lineRule="auto" w:line="285" w:before="0" w:after="0"/>
              <w:ind w:left="0" w:right="0" w:hanging="0"/>
              <w:jc w:val="left"/>
            </w:pPr>
            <w:r>
              <w:t>​</w:t>
            </w:r>
          </w:p>
        </w:tc>
      </w:tr>
      <w:tr>
        <w:tc>
          <w:tcPr>
            <w:tcW w:w="43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9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191,717</w:t>
            </w:r>
          </w:p>
        </w:tc>
        <w:tc>
          <w:tcPr>
            <w:tcW w:w="346" w:type="dxa"/>
            <w:tcBorders/>
            <w:vAlign w:val="center"/>
          </w:tcPr>
          <w:p>
            <w:pPr>
              <w:pStyle w:val="TableContents"/>
              <w:bidi w:val="0"/>
              <w:spacing w:lineRule="auto" w:line="285"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pPr>
            <w:r>
              <w:t> </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36,409</w:t>
            </w:r>
          </w:p>
        </w:tc>
        <w:tc>
          <w:tcPr>
            <w:tcW w:w="391" w:type="dxa"/>
            <w:tcBorders/>
            <w:vAlign w:val="center"/>
          </w:tcPr>
          <w:p>
            <w:pPr>
              <w:pStyle w:val="TableContents"/>
              <w:bidi w:val="0"/>
              <w:spacing w:lineRule="auto" w:line="285" w:before="0" w:after="0"/>
              <w:ind w:left="0" w:right="0" w:hanging="0"/>
              <w:jc w:val="left"/>
            </w:pPr>
            <w:r>
              <w:t>​</w:t>
            </w:r>
          </w:p>
        </w:tc>
      </w:tr>
      <w:tr>
        <w:tc>
          <w:tcPr>
            <w:tcW w:w="43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10,437</w:t>
            </w:r>
          </w:p>
        </w:tc>
        <w:tc>
          <w:tcPr>
            <w:tcW w:w="346" w:type="dxa"/>
            <w:tcBorders/>
            <w:shd w:fill="CCEEFF" w:val="clear"/>
            <w:vAlign w:val="center"/>
          </w:tcPr>
          <w:p>
            <w:pPr>
              <w:pStyle w:val="TableContents"/>
              <w:bidi w:val="0"/>
              <w:spacing w:lineRule="auto" w:line="285"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(5,873)</w:t>
            </w:r>
          </w:p>
        </w:tc>
        <w:tc>
          <w:tcPr>
            <w:tcW w:w="391" w:type="dxa"/>
            <w:tcBorders/>
            <w:shd w:fill="CCEEFF" w:val="clear"/>
            <w:vAlign w:val="center"/>
          </w:tcPr>
          <w:p>
            <w:pPr>
              <w:pStyle w:val="TableContents"/>
              <w:bidi w:val="0"/>
              <w:spacing w:lineRule="auto" w:line="285" w:before="0" w:after="0"/>
              <w:ind w:left="0" w:right="0" w:hanging="0"/>
              <w:jc w:val="left"/>
            </w:pPr>
            <w:r>
              <w:t>​</w:t>
            </w:r>
          </w:p>
        </w:tc>
      </w:tr>
    </w:tbl>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Cash Flows from Operating Activities</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Cash used in operating activities during the nine months ended September 30, 2026 was $38.0 million, which primarily consisted of net loss of $52.0 million, adjusted by net non-cash transactions of $10.3 million, that primarily consisted of $8.1 million of stock-based compensation expense and $2.2 million of loss from equity method investment; a decrease of $2.0 million in prepaid and other current assets; a decrease of $0.8 million in other assets; an increase of $3.2 million in accounts payable; and an increase of $2.8 million in accrued and other current liabilities.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Cash used in operating activities during the nine months ended September 30, 2025 was $23.6 million, which primarily consisted of a net loss of $3.0 million, adjusted by net non-cash transactions of $23.5 million, that primarily consisted of $3.8 million of stock-based compensation expense, $1.3 million of loss from equity method investment and a decrease of $27.1 million in the fair value of warrant liability; a decrease of $1.1 million in prepaid and other current assets; a decrease of $0.6 million in accounts payable; an increase of $2.0 million in accrued and other current liabilities; an increase in other assets of $0.2 million; and a decrease of $0.1 million in operating lease right-of-use asset.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Cash Flows from Investing Activities</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nine months ended September 30, 2026, net cash flows used in investing activities was $143.3 million, which primarily consisted of purchases of marketable securities of $239.9 million, purchases of property and equipment of $0.7 million and an investment in Angel Pharmaceuticals of $5.0 million, which were partially offset by maturities of marketable securities of $102.3 million.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nine months ended September 30, 2025. net cash flows used in investing activities was $18.7 million, which primarily consisted of purchases of marketable securities of $78.3 million and purchases of property and equipment of $0.2 million, which were partially offset by maturities of marketable securities of $59.8 million.</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Cash Flows from Financing Activities</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nine months ended September 30, 2026, cash provided by financing activities was $191.7 million, which primarily consisted of net proceeds of $189.4 million from the January 2026 follow-on public offering and proceeds of $2.3 million from the exercise of stock options.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nine months ended September 30, 2025, cash provided by financing activities was $36.4 million, which primarily consisted of proceeds of $35.7 million from the exercise of common warrants and proceeds of $0.7 million from the exercise of stock options.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outside the ordinary course of our business to our contractual obligations during the nine months ended September 30, 2026, as compared to those disclosed in our Annual Report on Form 10-K filed with the SEC on March 12, 2026.</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changes to our critical accounting estimates during the nine months ended September 30, 2026, as compared to those disclosed in our Annual Report on Form 10-K filed with the SEC on March 12, 2026.</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Smaller Reporting Company and Non-Accelerated Filer Status</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Based on the market value of our common stock held by our non-affiliates as of June 30, 2026, we will no longer be a “smaller reporting company.” Accordingly, we will cease to be eligible to use the requirements for a smaller reporting company beginning with our Quarterly Report on Form 10-Q for the quarter ended March 31, 2027, and will thus be subject to additional disclosure and compliance requirements. Because we remain eligible to use the requirements for smaller reporting companies through December 31, 2026, we will continue to be a non-accelerated filer as of December 31, 2026 and will remain a “non-accelerated filer” until December 31, 2027.</w:t>
      </w:r>
    </w:p>
    <w:p>
      <w:pPr>
        <w:pStyle w:val="TextBody"/>
        <w:bidi w:val="0"/>
        <w:spacing w:lineRule="auto" w:line="285" w:before="0" w:after="0"/>
        <w:ind w:left="0" w:right="0" w:hanging="0"/>
        <w:jc w:val="left"/>
        <w:rPr>
          <w:rFonts w:ascii="Times New Roman;Times;serif" w:hAnsi="Times New Roman;Times;serif"/>
          <w:b/>
          <w:sz w:val="20"/>
        </w:rPr>
      </w:pPr>
      <w:bookmarkStart w:id="1327" w:name="Item3QuantitativeandQualitativeDisclosur"/>
      <w:bookmarkStart w:id="1328" w:name="_971f8bee_c872_4fd1_b5ec_7f22965df093"/>
      <w:bookmarkEnd w:id="1327"/>
      <w:bookmarkEnd w:id="1328"/>
      <w:r>
        <w:rPr>
          <w:rFonts w:ascii="Times New Roman;Times;serif" w:hAnsi="Times New Roman;Times;serif"/>
          <w:b/>
          <w:sz w:val="20"/>
        </w:rPr>
        <w:t>Item 3.    Quantitative and Qualitative Disclosures about Market Risk</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are exposed to market risk related to changes in interest rates. We had cash and cash equivalents and marketable securities of $202.9 million as of September 30, 2026 and cash, cash equivalents and marketable securities of $56.8 million as of December 31, 2025, which consisted of bank deposits, money market investments, U.S. Treasury securities and U.S. government agency securities. Such interest-earning instruments carry a degree of interest rate risk; however, historical fluctuations of interest income have not been significant. Due to the short-term duration of our investment portfolio and the low risk profile of our investments, an immediate 10% increase in interest rates would not have a material effect on the fair market value of our portfolio.</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sz w:val="20"/>
        </w:rPr>
      </w:pPr>
      <w:bookmarkStart w:id="1329" w:name="Item4ControlsandProcedures_996727"/>
      <w:bookmarkStart w:id="1330" w:name="_0e6a1445_d1c2_407e_a34b_438e7b934cb3"/>
      <w:bookmarkEnd w:id="1329"/>
      <w:bookmarkEnd w:id="1330"/>
      <w:r>
        <w:rPr>
          <w:rFonts w:ascii="Times New Roman;Times;serif" w:hAnsi="Times New Roman;Times;serif"/>
          <w:b/>
          <w:sz w:val="20"/>
        </w:rPr>
        <w:t>Item 4.    Controls and Procedures</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          Evaluation of Disclosure Controls and Procedures</w:t>
      </w:r>
    </w:p>
    <w:p>
      <w:pPr>
        <w:pStyle w:val="TextBody"/>
        <w:bidi w:val="0"/>
        <w:spacing w:lineRule="auto" w:line="285" w:before="0" w:after="0"/>
        <w:ind w:left="0" w:right="0" w:hanging="0"/>
        <w:jc w:val="left"/>
      </w:pPr>
      <w: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Due to the inherent limitations of control systems, including the possibility of human error and the circumvention or overriding of the controls and procedures, not all misstatements may be prevented or detected. Our disclosure controls and procedures are designed to provide reasonable assurance of achieving their control objectives.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required by Rule 13a-15(b) under the Exchange Act, our management, with the participation of our Chief Executive Officer and Chief Financial Officer, has evaluated the effectiveness of our disclosure controls and procedures as of September 30, 2026 the end of the period covered by this Quarterly Report on Form 10-Q. Based upon such evaluation, our Chief Executive Officer and Chief Financial Officer have concluded that our disclosure controls and procedures were effective at the reasonable assurance level as of such date.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(b)          Changes in Internal Controls Over Financial Reporting</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pPr>
      <w: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1331" w:name="PARTIIOTHERINFORMATION_177066"/>
      <w:bookmarkStart w:id="1332" w:name="_7def46af_1e02_4ed3_b7ef_9df8e8a760c7"/>
      <w:bookmarkEnd w:id="1331"/>
      <w:bookmarkEnd w:id="1332"/>
      <w:r>
        <w:rPr>
          <w:rFonts w:ascii="Times New Roman;Times;serif" w:hAnsi="Times New Roman;Times;serif"/>
          <w:b/>
          <w:sz w:val="20"/>
        </w:rPr>
        <w:t>PART II — OTHER INFORMATION</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sz w:val="20"/>
        </w:rPr>
      </w:pPr>
      <w:bookmarkStart w:id="1333" w:name="Item1LegalProceedings_213471"/>
      <w:bookmarkEnd w:id="1333"/>
      <w:r>
        <w:rPr>
          <w:rFonts w:ascii="Times New Roman;Times;serif" w:hAnsi="Times New Roman;Times;serif"/>
          <w:b/>
          <w:sz w:val="20"/>
        </w:rPr>
        <w:t>Item 1 — Legal Proceedings</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are not currently a party to any material litigation or legal proceedings.</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sz w:val="20"/>
        </w:rPr>
      </w:pPr>
      <w:bookmarkStart w:id="1334" w:name="RiskFactors"/>
      <w:bookmarkStart w:id="1335" w:name="_91afad48_391a_4a6c_8e38_f64cf75776de"/>
      <w:bookmarkEnd w:id="1334"/>
      <w:bookmarkEnd w:id="1335"/>
      <w:r>
        <w:rPr>
          <w:rFonts w:ascii="Times New Roman;Times;serif" w:hAnsi="Times New Roman;Times;serif"/>
          <w:b/>
          <w:sz w:val="20"/>
        </w:rPr>
        <w:t>Item 1A — Risk Factors</w:t>
      </w:r>
    </w:p>
    <w:p>
      <w:pPr>
        <w:pStyle w:val="TextBody"/>
        <w:bidi w:val="0"/>
        <w:spacing w:lineRule="auto" w:line="285" w:before="0" w:after="0"/>
        <w:ind w:left="0" w:right="0" w:firstLine="720"/>
        <w:jc w:val="left"/>
      </w:pPr>
      <w:r>
        <w:t>​</w:t>
      </w:r>
    </w:p>
    <w:p>
      <w:pPr>
        <w:pStyle w:val="TextBody"/>
        <w:bidi w:val="0"/>
        <w:spacing w:lineRule="auto" w:line="285" w:before="0" w:after="0"/>
        <w:ind w:left="0" w:right="0" w:firstLine="720"/>
        <w:jc w:val="left"/>
        <w:rPr>
          <w:rFonts w:ascii="Times New Roman;Times;serif" w:hAnsi="Times New Roman;Times;serif"/>
          <w:i/>
          <w:sz w:val="20"/>
        </w:rPr>
      </w:pPr>
      <w:r>
        <w:rPr>
          <w:rFonts w:ascii="Times New Roman;Times;serif" w:hAnsi="Times New Roman;Times;serif"/>
          <w:i/>
          <w:sz w:val="20"/>
        </w:rPr>
        <w:t>Our business involves significant risks, some of which are described below. You should consider carefully the risks and uncertainties described below, together with all of the other information in this Quarterly Report on Form 10-Q, including our unaudited condensed consolidated financial statements and related notes included elsewhere in this Quarterly Report on Form 10-Q and “Management’s Discussion and Analysis of Financial Condition and Results of Operations.” If any of the following risks are realized, our business, financial condition, results of operations and prospects could be materially and adversely affected. Additional risks and uncertainties not presently known to us or that we currently deem immaterial may also impair our business operations.</w:t>
      </w:r>
    </w:p>
    <w:p>
      <w:pPr>
        <w:pStyle w:val="TextBody"/>
        <w:bidi w:val="0"/>
        <w:spacing w:lineRule="auto" w:line="285" w:before="0" w:after="0"/>
        <w:ind w:left="0" w:right="0" w:hanging="0"/>
        <w:jc w:val="left"/>
      </w:pPr>
      <w:r>
        <w:t>​</w:t>
      </w:r>
    </w:p>
    <w:p>
      <w:pPr>
        <w:pStyle w:val="TextBody"/>
        <w:bidi w:val="0"/>
        <w:spacing w:lineRule="auto" w:line="304" w:before="0" w:after="160"/>
        <w:ind w:left="0" w:right="0" w:hanging="0"/>
        <w:jc w:val="left"/>
        <w:rPr>
          <w:rFonts w:ascii="Times New Roman;Times;serif" w:hAnsi="Times New Roman;Times;serif"/>
          <w:b/>
          <w:sz w:val="20"/>
        </w:rPr>
      </w:pPr>
      <w:r>
        <w:rPr>
          <w:rFonts w:ascii="Times New Roman;Times;serif" w:hAnsi="Times New Roman;Times;serif"/>
          <w:b/>
          <w:sz w:val="20"/>
        </w:rPr>
        <w:t>Risk Factor Summary</w:t>
      </w:r>
    </w:p>
    <w:p>
      <w:pPr>
        <w:pStyle w:val="TextBody"/>
        <w:bidi w:val="0"/>
        <w:spacing w:lineRule="auto" w:line="285" w:before="240" w:after="0"/>
        <w:ind w:left="0" w:right="0" w:firstLine="720"/>
        <w:jc w:val="both"/>
        <w:rPr>
          <w:rFonts w:ascii="Times New Roman;Times;serif" w:hAnsi="Times New Roman;Times;serif"/>
          <w:sz w:val="20"/>
        </w:rPr>
      </w:pPr>
      <w:r>
        <w:rPr>
          <w:rFonts w:ascii="Times New Roman;Times;serif" w:hAnsi="Times New Roman;Times;serif"/>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(“SEC”) before making investment decisions regarding our common stock.</w:t>
      </w:r>
    </w:p>
    <w:p>
      <w:pPr>
        <w:pStyle w:val="TextBody"/>
        <w:bidi w:val="0"/>
        <w:spacing w:lineRule="auto" w:line="285" w:before="0" w:after="280"/>
        <w:ind w:left="0" w:right="0" w:hanging="0"/>
        <w:jc w:val="both"/>
      </w:pPr>
      <w: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since our inception and expect to incur significant losses for the foreseeable future. We may never generate any revenue or become profitable or, if we achieve profitability, we may not be able to sustain it.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substantial additional financing to achieve our goals, and a failure to obtain this necessary capital when needed on acceptable terms, or at all, could force us to delay, limit, reduce or terminate our product development, other operations or commercialization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candidates are in various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drug development involves a lengthy and expensive process with an uncertain outcome, and the results of preclinical studies and early clinical trials are not necessarily predictive of future results. Any product candidate we or any of our existing or potential future collaborators advance into clinical trials, including soquelitinib, ciforadenant and mupadolimab, may not have favorable results in later clinical trials, if any, or receive regulatory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termination or suspension of, or delays in the commencement or completion of, our planned clinical trials could result in increased costs to us, delay or limit our ability to generate revenue and adversely affect our commercial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candidates are subject to extensive regulation, compliance with which is costly and time consuming, and such regulation may cause unanticipated delays or prevent the receipt of the required approvals to commercialize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conducting and plan to conduct clinical trials for soquelitinib, ciforadenant and mupadolimab, and we and Angel Pharmaceuticals may in the future, conduct additional clinical trials of product candidates at sites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the United States, and the Food and Drug Administration (“FDA”) may not accept data from trials conducted in foreign locations.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encounter difficulties enrolling subjects in our clinical trials, our clinical development activities could be delayed or otherwise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serious complications or side effects in connection with use of our product candidates, either in clinical trials or post-approval, could lead to discontinuation of our clinical development programs, refusal of regulatory authorities to approve our product candidates or, post-approval, revocation of marketing authorizations or refusal to approve new indications, which could severely harm our business, prospects, results of operations and financial condition.</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successful in our efforts to identify or discover additional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and expect to continue to rely, on third parties to conduct our clinical trials. If these third parties do not meet our deadlines or otherwise conduct the trials as required, our clinical development programs could be delayed or unsuccessful and we may not be able to obtain regulatory approval for or commercialize our product candidates when expected,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to conduct some or all aspects of our manufacturing, research and preclinical and clinical testing, and these third parties may not perform satisfactorily.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third-party manufacturers, may be unable to successfully scale-up manufacturing of our product candidates in sufficient quality and quantity, which would delay or prevent us from developing our product candidates and commercializing approved products,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commercialize our product candidates or if we experience significant delays in obtaining regulatory approval for, or commercializing, any or all of our product candidates, our business will be materially and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achieve our projected development goals in the time frames we announce and expect, the commercialization of our products may be delayed and, as a result, our stock price may decline.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liquid and orderly market for our common stock may not be sustained.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the shares of our common stock could be highly volatile, and investors in our common stock could incur substantial losses.</w:t>
            </w:r>
          </w:p>
        </w:tc>
      </w:tr>
    </w:tbl>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Limited Operating History, Financial Condition and Need for Additional Capital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have incurred significant operating losses since our inception and expect to incur significant losses for the foreseeable future. We may never generate any revenue or become profitable or, if we achieve profitability, we may not be able to sustain it.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a clinical-stage biopharmaceutical company that has never generated revenue from the sale of our product candidates. Biopharmaceutical product development is a highly speculative undertaking and involves a substantial degree of risk. To date, we have focused primarily on developing our lead product candidates, soquelitinib,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ciforadenant and mupadolimab, and researching additional product candidates. We have incurred significant operating losses since we were founded in January 2014 and have not yet generated any revenue from sales. If our product candidates are not approved, we may never generate any revenue. We incurred a net loss of $15.3 million, $62.3 million and $27.0 million for the years ended December 31, 2025, 2024 and 2023, respectively. During the nine months ended September 30, 2026 and 2025, we recorded net loss of $52.0 million and $3.0 million, respectively. Net loss for the nine months ended September 30, 2025 includes non-operating income of $27.1 million associated with a change in fair value of warrant liability. We had an accumulated deficit of $464.3 million as of September 30, 2026. We expect to continue to incur losses for the foreseeable future, and we anticipate these losses will increase as we continue our development of, seek regulatory approval for and, if approved, begin to commercialize soquelitinib, and as we develop other product candidates. Even if we achieve profitability in the future, we may not be able to sustain it in subsequent periods. Our prior losses, combined with expected future losses, have had and will continue to have an adverse effect on our stockholders’ equity and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will require substantial additional financing to achieve our goals, and a failure to obtain this necessary capital when needed on acceptable terms, or at all, could force us to delay, limit, reduce or terminate our product development, other operations or commercialization efforts.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our inception, the majority of our efforts have been focused on the research and development of soquelitinib, ciforadenant and mupadolimab. We believe that we will continue to expend substantial resources for the foreseeable future as we continue clinical development of, seek regulatory approval for and, if approved, prepare for the commercialization of soquelitinib, as well as product candidates under our other development programs. These expenditures will include costs associated with research and development, conducting preclinical studies and clinical trials, obtaining regulatory approvals, manufacturing and supply, sales and marketing and general operations. In addition, other unanticipated costs may arise. Because the outcome of any clinical trial and/or regulatory approval process is highly uncertain, we may not be able to accurately estimate the actual amounts necessary to successfully complete the development, regulatory approval process and commercialization of soquelitinib, ciforadenant and mupadolimab or any other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Based on our planned expenditures and capital expenditures requirements, our cash, cash equivalents and marketable securities of $202.9 million as of September 30, 2026, we expect that our existing capital resources will be sufficient to fund our operations into the second quarter of 2028. As a result, we do not expect our existing capital resources to be sufficient to enable us to fund the completion of all of our ongoing and planned clinical trials and remaining development programs through commercialization. In addition, while Angel Pharmaceuticals has received outside investment of approximately $41.0 million in connection with its formation and licensing of certain of our intellectual property and approximately $13.5 million from a June 2026 equity financing, such cash is not available for our use. Our operating plan may change as a result of many factors, including those described below as well as others currently unknown to us, and we will need to seek additional funds, through public or private equity, and debt financings or other sources, such as strategic collaborations. Such financing would result in dilution to stockholders, imposition of debt covenants and repayment obligations or other restrictions that may affect our business. If we raise additional capital through strategic collaboration agreements, we may have to relinquish valuable rights to our product candidates, including possible future revenue streams. For example, in October 2020 we formed Angel Pharmaceuticals with a group of investors in China to create a new China-based biopharmaceutical company with a mission to bring innovative quality medicines to Chinese patients for treatment of serious diseases including cancer, autoimmune diseases and infectious diseases. We granted Angel Pharmaceuticals a license to rights to develop and commercialize our three clinical-stage candidates – soquelitinib, ciforadenant and mupadolimab – in greater China and Angel Pharmaceuticals obtained global rights to our Bruton’s tyrosine kinase (“BTK”) inhibitor preclinical programs. In addition, additional funding may not be available to us on acceptable terms, or at all, and any additional fundraising efforts may divert our management from their day-to-day activities, which may adversely affect our ability to develop and commercialize our product candidates.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amount and timing of any expenditures needed to implement our development and commercialization programs will depend on numerous factors,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val="false"/>
                <w:caps w:val="false"/>
                <w:smallCaps w:val="false"/>
                <w:sz w:val="20"/>
              </w:rPr>
              <w:t>the type, number, scope, progress, expansions, results of and timing of our ongoing and planned clinical trials of soquelitinib (including the potential registration trial), ciforadenant and mupadolimab</w:t>
            </w:r>
            <w:r>
              <w:rPr>
                <w:caps w:val="false"/>
                <w:smallCaps w:val="false"/>
              </w:rPr>
              <w:t xml:space="preserve"> </w:t>
            </w:r>
            <w:r>
              <w:rPr>
                <w:rFonts w:ascii="Times New Roman;Times;serif" w:hAnsi="Times New Roman;Times;serif"/>
                <w:b w:val="false"/>
                <w:i w:val="false"/>
                <w:caps w:val="false"/>
                <w:smallCaps w:val="false"/>
                <w:sz w:val="20"/>
              </w:rPr>
              <w:t>and any of our planned preclinical studies and clinical trials of other product candidates which we are pursuing or may choose to pursue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for, and the progress, costs and results of, any additional clinical trials of soquelitinib, ciforadenant and mupadolimab or any of our other product candidates we may initiate based on the results of our planned clinical trials or discussions with the FDA or other regulatory agencies, including any additional trials the FDA or other regulatory agencies may require;</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obtaining, maintaining and enforcing our patents and other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obtaining or maintaining manufacturing for soquelitinib, ciforadenant and mupadolimab and our other product candidates, including commercial manufacturing if any product candidate is approved;</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establishing sales and marketing capabilities;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sufficient market acceptance, coverage and reimbursement from third-party payors and adequate market share for our product candidates;</w:t>
            </w:r>
          </w:p>
        </w:tc>
      </w:tr>
    </w:tbl>
    <w:tbl>
      <w:tblPr>
        <w:tblW w:w="8181" w:type="dxa"/>
        <w:jc w:val="left"/>
        <w:tblInd w:w="0" w:type="dxa"/>
        <w:tblLayout w:type="fixed"/>
        <w:tblCellMar>
          <w:top w:w="28" w:type="dxa"/>
          <w:left w:w="28" w:type="dxa"/>
          <w:bottom w:w="28" w:type="dxa"/>
          <w:right w:w="28" w:type="dxa"/>
        </w:tblCellMar>
      </w:tblPr>
      <w:tblGrid>
        <w:gridCol w:w="124"/>
        <w:gridCol w:w="256"/>
        <w:gridCol w:w="780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timing of establishing collaborations, license agreements and other partnerships;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FDA or other regulatory agencies accepts data from any clinical trials of our product candidates conducted by Angel Pharmaceuticals in China;</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any new product candidates that we may develop, in-license or acquire;</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Angel Pharmaceuticals’ ability to develop and commercialize product candidates in China;</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such as rising inflation;</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competing technological and market developments;</w:t>
            </w:r>
          </w:p>
        </w:tc>
      </w:tr>
    </w:tbl>
    <w:tbl>
      <w:tblPr>
        <w:tblW w:w="5091" w:type="dxa"/>
        <w:jc w:val="left"/>
        <w:tblInd w:w="0" w:type="dxa"/>
        <w:tblLayout w:type="fixed"/>
        <w:tblCellMar>
          <w:top w:w="28" w:type="dxa"/>
          <w:left w:w="28" w:type="dxa"/>
          <w:bottom w:w="28" w:type="dxa"/>
          <w:right w:w="28" w:type="dxa"/>
        </w:tblCellMar>
      </w:tblPr>
      <w:tblGrid>
        <w:gridCol w:w="124"/>
        <w:gridCol w:w="256"/>
        <w:gridCol w:w="471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hire and retain qualified personnel;</w:t>
            </w:r>
          </w:p>
        </w:tc>
      </w:tr>
    </w:tbl>
    <w:tbl>
      <w:tblPr>
        <w:tblW w:w="7266" w:type="dxa"/>
        <w:jc w:val="left"/>
        <w:tblInd w:w="0" w:type="dxa"/>
        <w:tblLayout w:type="fixed"/>
        <w:tblCellMar>
          <w:top w:w="28" w:type="dxa"/>
          <w:left w:w="28" w:type="dxa"/>
          <w:bottom w:w="28" w:type="dxa"/>
          <w:right w:w="28" w:type="dxa"/>
        </w:tblCellMar>
      </w:tblPr>
      <w:tblGrid>
        <w:gridCol w:w="124"/>
        <w:gridCol w:w="256"/>
        <w:gridCol w:w="688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partnering arrangements for development; and</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being a public company.</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Several of these factors are outside of our control and if we are unable to obtain funding on a timely basis, or at all, we will be unable to complete the clinical trials for soquelitinib, ciforadenant and mupadolimab and our other product candidates, and we may be required to significantly curtail some or all of our activities.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the Discovery and Development of Our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product candidates are in various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invested a significant portion of our efforts and financial resources in the development of our most advanced product candidates, soquelitinib, ciforadenant and mupadolimab.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collaborators must conduct extensive preclinical tests and clinical trials to demonstrate sufficient safety and efficacy of our product candidates in patients.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or inconclusive results from our clinical trials, the clinical trials of our collaborators, including Angel Pharmaceuticals, or the clinical trials of others for product candidates similar to ours, leading to a decision or requirement to conduct additional preclinical testing or clinical trials or abandon a program;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product-related side effects experienced by participants in our clinical trials, the clinical trials of our collaborators or by individuals using drugs or therapeutic biologics similar to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submitting Investigational New Drug Applications (“INDs”) or comparable foreign applications or delays or failure in obtaining the necessary approvals from regulators to commence a clinical trial, or a suspension or termination of a clinical trial once commenced;</w:t>
            </w:r>
          </w:p>
        </w:tc>
      </w:tr>
    </w:tbl>
    <w:tbl>
      <w:tblPr>
        <w:tblW w:w="9981" w:type="dxa"/>
        <w:jc w:val="left"/>
        <w:tblInd w:w="0" w:type="dxa"/>
        <w:tblLayout w:type="fixed"/>
        <w:tblCellMar>
          <w:top w:w="28" w:type="dxa"/>
          <w:left w:w="28" w:type="dxa"/>
          <w:bottom w:w="28" w:type="dxa"/>
          <w:right w:w="28" w:type="dxa"/>
        </w:tblCellMar>
      </w:tblPr>
      <w:tblGrid>
        <w:gridCol w:w="124"/>
        <w:gridCol w:w="256"/>
        <w:gridCol w:w="960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imposed by the FDA or comparable foreign authorities regarding the scope or design of our clinical trials;</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enrolling research subjects in clinical trials;</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drop-out rates of research subjects;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inadequate supply or quality of product candidate components or materials or other supplies necessary for the conduct of our clinical trials or the clinical trials of our collaborators;</w:t>
            </w:r>
          </w:p>
        </w:tc>
      </w:tr>
    </w:tbl>
    <w:tbl>
      <w:tblPr>
        <w:tblW w:w="3996" w:type="dxa"/>
        <w:jc w:val="left"/>
        <w:tblInd w:w="0" w:type="dxa"/>
        <w:tblLayout w:type="fixed"/>
        <w:tblCellMar>
          <w:top w:w="28" w:type="dxa"/>
          <w:left w:w="28" w:type="dxa"/>
          <w:bottom w:w="28" w:type="dxa"/>
          <w:right w:w="28" w:type="dxa"/>
        </w:tblCellMar>
      </w:tblPr>
      <w:tblGrid>
        <w:gridCol w:w="124"/>
        <w:gridCol w:w="256"/>
        <w:gridCol w:w="361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than anticipated clinical trial costs;</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in the development, approval or certification of companion diagnostic tests for our product candidates;</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FDA or other regulatory agency inspection and review of a clinical trial site;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our third-party contractors or investigators to comply with regulatory requirements or otherwise meet their contractual obligations in a timely manner,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and changes in regulatory requirements, policy and guidelines, including the imposition of additional regulatory oversight around clinical testing generally or with respect to our technology in particular; or</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7221" w:type="dxa"/>
        <w:jc w:val="left"/>
        <w:tblInd w:w="0" w:type="dxa"/>
        <w:tblLayout w:type="fixed"/>
        <w:tblCellMar>
          <w:top w:w="28" w:type="dxa"/>
          <w:left w:w="28" w:type="dxa"/>
          <w:bottom w:w="28" w:type="dxa"/>
          <w:right w:w="28" w:type="dxa"/>
        </w:tblCellMar>
      </w:tblPr>
      <w:tblGrid>
        <w:gridCol w:w="124"/>
        <w:gridCol w:w="256"/>
        <w:gridCol w:w="684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varying interpretations of data by the FDA and similar foreign regulatory agencies.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could find that the product candidates we or our collaborators pursue are not safe or effective. Furthermore, if one or more of our product candidates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Of the large number of drugs in development in the pharmaceutical industry, only a small percentage result in the submission of a NDA or Biologics License Application (“BLA”) to the FDA or comparable marketing applications to foreign regulatory authorities, and even fewer are approved for commercialization. Furthermore, even if we do receive regulatory approval to market soquelitinib, ciforadenant or mupadolimab, any such approval may be subject to limitations on the indicated uses for which we may market the product. Accordingly, even if we are able to obtain the requisite financing to continue to fund our development programs, we cannot assure our stockholders that soquelitinib, ciforadenant or mupadolimab will be successfully developed or commercialized. If we or any of our existing or potential future collaborators are unable to develop, or obtain regulatory approval for, or, if approved, successfully commercialize soquelitinib, ciforadenant or mupadolimab, we may not be able to generate sufficient revenue to continue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Clinical drug development involves a lengthy and expensive process with an uncertain outcome, and the results of preclinical studies and early clinical trials are not necessarily predictive of future results. Any product candidate we or any of our existing or potential future collaborators advance into clinical trials, including soquelitinib, ciforadenant and mupadolimab, may not have favorable results in later clinical trials, if any, or receive regulatory approval.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our collaboration with Angel Pharmaceuticals, Angel Pharmaceuticals is responsible for the clinical development and commercialization, including all related expenses, of the licensed pipeline programs in greater China, and for the pre-clinical BTK program globally. Clinical trials conducted by Angel Pharmaceuticals will be subject to many of the same risks as our ongoing clinical programs.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cannot be certain that our ongoing or planned clinical trials or any other future clinical trials will be successful.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the FDA’s and other regulatory authorities’ policies with respect to clinical trials may change and additional government regulations may be enacted. For instance, the regulatory landscape related to clinical trials in the European Union (“EU”) has evolved. The EU Clinical Trials Regulation (“CTR”) which was adopted in April 2014 and repealed the EU Clinical Trials Directive, became applicable on January 31, 2022. While the EU Clinical Trials Directive required a separate CTA to be submitted in each member state in which the clinical trial takes place, to both the competent national health authority and an independent ethics committee, the CTR introduced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transition period ended on January 31, 2025, and all clinical trials (and related applications) are now fully subject to the provisions of the CTR. Compliance with the CTR requirements by us, our collaborators and third-party service providers, such as contract research organizations (“CROs”), may impact our developments plans.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are slow or unable to adapt to changes in existing requirements or the adoption of new requirements or policies governing clinical trials, our development plans may also be impacted.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Any termination or suspension of, or delays in the commencement or completion of, our planned clinical trials could result in increased costs to us, delay or limit our ability to generate revenue and adversely affect our commercial prospects.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Before we can initiate clinical trials in the United States or in foreign countries for any of our product and development candidates, we must submit the results of preclinical testing to the FDA or foreign regulatory authorities along with other information, including information about product candidate chemistry, manufacturing and controls and our proposed clinical trial protocol, as part of an IND or similar application. In addition, we may rely in part on preclinical, clinical and quality data generated by CROs and other third parties for regulatory submissions for our product candidates. If these third parties do not make timely regulatory submissions for our product candidates, it will delay our plans for our clinical trials. If those third parties do not make this data available to us, we will likely have to develop all necessary preclinical and clinical data on our own, which will lead to significant delays and increase development costs of the product candidate. In addition, the FDA or foreign regulatory authorities may require us to conduct additional preclinical testing for any product candidate before it allows us to initiate clinical testing under any IND or similar application, which may lead to additional delays and increase the costs of our preclinical development. Delays in the completion of our planned clinical trials for product candidates could significantly affect our product development costs.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While we initiated several clinical trials, we do not know whether any of our other planned trials will begin on time in the future or whether any of our trials will be completed on schedule, if at all. The commencement and completion of clinical trials can be delayed for a number of reasons, including delays related to:</w:t>
      </w:r>
    </w:p>
    <w:tbl>
      <w:tblPr>
        <w:tblW w:w="9711" w:type="dxa"/>
        <w:jc w:val="left"/>
        <w:tblInd w:w="0" w:type="dxa"/>
        <w:tblLayout w:type="fixed"/>
        <w:tblCellMar>
          <w:top w:w="28" w:type="dxa"/>
          <w:left w:w="28" w:type="dxa"/>
          <w:bottom w:w="28" w:type="dxa"/>
          <w:right w:w="28" w:type="dxa"/>
        </w:tblCellMar>
      </w:tblPr>
      <w:tblGrid>
        <w:gridCol w:w="124"/>
        <w:gridCol w:w="256"/>
        <w:gridCol w:w="933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foreign regulatory authorities failing to grant permission to proceed or placing a clinical trial on hold;</w:t>
            </w:r>
          </w:p>
        </w:tc>
      </w:tr>
    </w:tbl>
    <w:tbl>
      <w:tblPr>
        <w:tblW w:w="5976" w:type="dxa"/>
        <w:jc w:val="left"/>
        <w:tblInd w:w="0" w:type="dxa"/>
        <w:tblLayout w:type="fixed"/>
        <w:tblCellMar>
          <w:top w:w="28" w:type="dxa"/>
          <w:left w:w="28" w:type="dxa"/>
          <w:bottom w:w="28" w:type="dxa"/>
          <w:right w:w="28" w:type="dxa"/>
        </w:tblCellMar>
      </w:tblPr>
      <w:tblGrid>
        <w:gridCol w:w="124"/>
        <w:gridCol w:w="256"/>
        <w:gridCol w:w="559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subjects failing to enroll or remain in our trial at the rate we expect;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subjects choosing an alternative treatment for the indication for which we are developing soquelitinib, ciforadenant and mupadolimab or other product candidates, or participating in competing clinical trials;</w:t>
            </w:r>
          </w:p>
        </w:tc>
      </w:tr>
    </w:tbl>
    <w:tbl>
      <w:tblPr>
        <w:tblW w:w="4926" w:type="dxa"/>
        <w:jc w:val="left"/>
        <w:tblInd w:w="0" w:type="dxa"/>
        <w:tblLayout w:type="fixed"/>
        <w:tblCellMar>
          <w:top w:w="28" w:type="dxa"/>
          <w:left w:w="28" w:type="dxa"/>
          <w:bottom w:w="28" w:type="dxa"/>
          <w:right w:w="28" w:type="dxa"/>
        </w:tblCellMar>
      </w:tblPr>
      <w:tblGrid>
        <w:gridCol w:w="124"/>
        <w:gridCol w:w="256"/>
        <w:gridCol w:w="454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adequate funding to continue the clinical trial;</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subjects experiencing severe or unexpected drug-related adverse effects;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facility manufacturing soquelitinib, ciforadenant or mupadolimab, any of our other product candidates or any of their components being ordered by the FDA or other regulatory authorities to temporarily or permanently shut down due to violations of Good Manufacturing Practice (“GMP”) regulations or other applicable requirements, or infections or cross-contaminations of product candidates in the manufacturing process;</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to our manufacturing process that may be necessary or desired;</w:t>
            </w:r>
          </w:p>
        </w:tc>
      </w:tr>
    </w:tbl>
    <w:tbl>
      <w:tblPr>
        <w:tblW w:w="6966" w:type="dxa"/>
        <w:jc w:val="left"/>
        <w:tblInd w:w="0" w:type="dxa"/>
        <w:tblLayout w:type="fixed"/>
        <w:tblCellMar>
          <w:top w:w="28" w:type="dxa"/>
          <w:left w:w="28" w:type="dxa"/>
          <w:bottom w:w="28" w:type="dxa"/>
          <w:right w:w="28" w:type="dxa"/>
        </w:tblCellMar>
      </w:tblPr>
      <w:tblGrid>
        <w:gridCol w:w="124"/>
        <w:gridCol w:w="256"/>
        <w:gridCol w:w="658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or delay in reaching an agreement with CROs and clinical trial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third-party clinical investigators losing the licenses or permits necessary to perform our clinical trials, not performing our clinical trials on our anticipated schedule or consistent with the clinical trial protocol, Good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Practice (“GCP”) or regulatory requirements or other third parties not performing data collection or analysis in a timely or accurate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Institutional Review Boards (“IRBs”) or other reviewing bodies refusing to approve, suspending or terminating the trial at an investigational site, precluding enrollment of additional subjects, or withdrawing its approval of the trial; or</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failing to complete a trial or return for post-treatment follow-up.</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we could also encounter delays if a clinical trial is suspended or terminated by us, by the IRBs of the institutions in which such trials are being conducted, by the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or other reviewing bodies for reexamination, which may impact the costs, timing or successful completion of a clinical trial.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or adversely affected. In addition, any delays in completing our clinical trials will increase our costs, slow down our product candidate development and approval process and jeopardize our ability to commence product sales and generate revenues. See also the risk factor below titled “</w:t>
      </w:r>
      <w:r>
        <w:rPr>
          <w:rFonts w:ascii="Times New Roman;Times;serif" w:hAnsi="Times New Roman;Times;serif"/>
          <w:i/>
          <w:sz w:val="20"/>
        </w:rPr>
        <w:t>If we encounter difficulties enrolling subjects in our clinical trials, our clinical development activities could be delayed or otherwise adversely affected</w:t>
      </w:r>
      <w:r>
        <w:rPr>
          <w:rFonts w:ascii="Times New Roman;Times;serif" w:hAnsi="Times New Roman;Times;serif"/>
          <w:sz w:val="20"/>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soquelitinib, ciforadenant and mupadolimab or other product candidates could be significantly reduced. Any of these occurrences may harm our business, financial condition and prospects significantly.</w:t>
      </w:r>
    </w:p>
    <w:p>
      <w:pPr>
        <w:pStyle w:val="TextBody"/>
        <w:bidi w:val="0"/>
        <w:spacing w:lineRule="auto" w:line="285"/>
        <w:ind w:left="0" w:right="0" w:hanging="0"/>
        <w:jc w:val="left"/>
        <w:rPr>
          <w:rFonts w:ascii="Times New Roman;Times;serif" w:hAnsi="Times New Roman;Times;serif"/>
          <w:b/>
          <w:i/>
          <w:sz w:val="20"/>
        </w:rPr>
      </w:pPr>
      <w:r>
        <w:rPr>
          <w:rFonts w:ascii="Times New Roman;Times;serif" w:hAnsi="Times New Roman;Times;serif"/>
          <w:b/>
          <w:i/>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has been received and fully evaluated. Top-line or preliminary data also remain subject to audit and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verification procedures that may result in the final data being materially different from the top-line or preliminary data we previously published. As a result, top-line and preliminary data should be viewed with caution until the final data are available.</w:t>
      </w:r>
    </w:p>
    <w:p>
      <w:pPr>
        <w:pStyle w:val="TextBody"/>
        <w:bidi w:val="0"/>
        <w:spacing w:lineRule="auto" w:line="285" w:before="120" w:after="240"/>
        <w:ind w:left="0" w:right="0" w:firstLine="720"/>
        <w:jc w:val="left"/>
        <w:rPr>
          <w:rFonts w:ascii="Times New Roman;Times;serif" w:hAnsi="Times New Roman;Times;serif"/>
          <w:sz w:val="20"/>
        </w:rPr>
      </w:pPr>
      <w:r>
        <w:rPr>
          <w:rFonts w:ascii="Times New Roman;Times;serif" w:hAnsi="Times New Roman;Times;serif"/>
          <w:sz w:val="20"/>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pStyle w:val="TextBody"/>
        <w:bidi w:val="0"/>
        <w:spacing w:lineRule="auto" w:line="285" w:before="120" w:after="240"/>
        <w:ind w:left="0" w:right="0" w:firstLine="720"/>
        <w:jc w:val="left"/>
        <w:rPr>
          <w:rFonts w:ascii="Times New Roman;Times;serif" w:hAnsi="Times New Roman;Times;serif"/>
          <w:sz w:val="20"/>
        </w:rPr>
      </w:pPr>
      <w:r>
        <w:rPr>
          <w:rFonts w:ascii="Times New Roman;Times;serif" w:hAnsi="Times New Roman;Times;serif"/>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product candidates are subject to extensive regulation, compliance with which is costly and time consuming, and such regulation may cause unanticipated delays or prevent the receipt of the required approvals to commercialize our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clinical development, manufacturing, labeling, storage, record-keeping, advertising, promotion, import, export, marketing and distribution of our product candidates are subject to extensive regulation by the FDA in the United States and by comparable authorities in foreign markets. In the United States, we are not permitted to market our product candidates until we receive regulatory approval from the FDA. The process of obtaining regulatory approval is expensive, often takes many years and can vary substantially based upon the type, complexity and novelty of the product candidates involved, as well as the target indications and patient population. Approval policies or regulations may change, and the FDA and comparable authorities have substantial discretion in the drug approval process, including the ability to delay, limit or deny approval of a product candidate for many reasons. Despite the time and expense invested in clinical development of product candidates, regulatory approval is never guaranteed.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FDA or comparable foreign regulatory authorities, including in China, can delay, limit or deny approval of a product candidate for many reasons,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disagree with the design or implementation of our or any of our existing or potential future collaborators’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of our existing or potential future collaborators may be unable to demonstrate to the satisfaction of the FDA or other regulatory authorities that a product candidate is safe, pure, potent or effective for any indication;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not accept clinical data from trials which are conducted at clinical facilities or in countries where the standard of care is potentially different from that of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of our existing or potential future collaborators may be unable to demonstrate that a product candidate’s clinical and other benefits outweigh its safety risks;</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disagree with our interpretation of data from preclinical studies or clinical trials;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may be granted only for indications that are significantly more limited than what we apply for and/or with other significant restrictions on distribution and use;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find deficiencies in the manufacturing processes or facilities of third-party manufacturers with which we or any of our existing or potential future collaborators contract for clinical and commercial supplies;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policies or regulations of such authorities may significantly change in a manner rendering our or any of our existing or potential future collaborators’ clinical data insufficient for approval.</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pharmaceuticals may result in increased cautiousness by the FDA and comparable foreign regulatory authorities, including in China, in reviewing new drugs based on safety, efficacy or other regulatory considerations and may result in significant delays in obtaining regulatory approvals. Any delay in obtaining, or inability to obtain, applicable regulatory approvals would prevent us or any of our existing or potential future collaborators from commercializing our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are conducting or plan to conduct clinical trials for soquelitinib, ciforadenant and mupadolimab, and we and Angel Pharmaceuticals may in the future conduct additional clinical trials of product candidates at sites outside the United States, and the FDA may not accept data from trials conducted in foreign locations.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We are conducting oncology clinical trials with soquelitinib in North America, Australia and South Korea and with ciforadenant in North America in collaboration with the Kidney Cancer Research Consortium. In addition, Angel Pharmaceuticals has initiated clinical trials in China for soquelitinib and mupadolimab.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trials were not subject to an IND,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such foreign regulatory authority does not accept the data from our or Angel Pharmaceuticals’ clinical trials for soquelitinib, ciforadenant or mupadolimab, or any other product candidates, it would likely result in the need for additional trials, which would be costly and time-consuming and delay or permanently halt our development of soquelitinib, ciforadenant or mupadolimab or any other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encounter difficulties enrolling subjects in our clinical trials, our clinical development activities could be delayed or otherwise adversely affected.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Subject enrollment, a significant factor in the timing of clinical trials, is affected by many factors including the size and nature of the patient population, the proximity of patients to clinical sites, the eligibility criteria for the trial, the design of the clinical trial, the risk that enrolled patients will not complete a clinical trial, our ability to recruit clinical trial investigators with the appropriate competencies and experience, competing clinical trials and clinicians’ and patients’ perceptions as to the potential advantages of the product candidate being studied in relation to other available therapies, including any new drugs that may be approved for the indications we are investigating. We will be required to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identify and enroll a sufficient number of subjects for each of our clinical trials. Potential subjects for any planned clinical trials may not be adequately diagnosed or identified with the diseases which we are targeting or may not meet the entry criteria for our studies. We also may encounter difficulties in identifying and enrolling subjects with a stage of disease appropriate for our planned clinical trials. We may not be able to initiate or continue clinical trials if we are unable to locate a sufficient number of eligible subjects to participate in the clinical trials required by the FDA or other foreign regulatory agencies. In addition, the process of finding and diagnosing subjects may prove costly.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patients are unwilling to participate in our studies for any reason, including the existence of competitive clinical trials for similar patient populations, the availability of approved therapies or negative perceptions of the safety or efficacy of our product candidates, the timeline for recruiting subjects, conducting studies and obtaining regulatory approval of our product candidates may be delayed. Our inability to enroll a sufficient number of subjects for any of our future clinical trials would result in significant delays or may require us to abandon one or more clinical trials altogether.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believe we have appropriately considered the above factors in our trials when determining expected clinical trial timelines, but we cannot assure our stockholders that our assumptions are correct or that we will not experience delays in enrollment, which would result in the delay of completion of such trials beyond our expected timelines.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The occurrence of serious complications or side effects in connection with use of our product candidates, either in clinical trials or post-approval, could lead to discontinuation of our clinical development programs, refusal of regulatory authorities to approve our product candidates or, post-approval, revocation of marketing authorizations or refusal to approve new indications, which could severely harm our business, prospects, results of operations and financial condition.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programs with different dosing regimens and in combination with other immunotherapies, or as use of these product candidates becomes more widespread if they receive regulatory approval, illnesses, injuries, discomforts and other adverse events that were observed in earlier trials, as well as conditions that did not occur or went undetected in previous trials, will be reported by subjects.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Side effects are often only detectable after investigational products are tested in large-scale, Phase 3 clinical trials or, in some cases, after they are made available to patients on a commercial scale after approval. Results of our current clinical trials and any future clinical trials we undertake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product candidates for any or all targeted indications. Drug-related side effects could affect patient recruitment or the ability of enrolled patients to complete the trial or result in potential product liability claims. Any of these occurrences may harm our business, financial condition and prospects significantly.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if one or more of our product candidates receives marketing approval, and we or others later identify undesirable side effects caused by such products, a number of potentially significant negative consequences could result, including:</w:t>
      </w:r>
    </w:p>
    <w:tbl>
      <w:tblPr>
        <w:tblW w:w="5676" w:type="dxa"/>
        <w:jc w:val="left"/>
        <w:tblInd w:w="0" w:type="dxa"/>
        <w:tblLayout w:type="fixed"/>
        <w:tblCellMar>
          <w:top w:w="28" w:type="dxa"/>
          <w:left w:w="28" w:type="dxa"/>
          <w:bottom w:w="28" w:type="dxa"/>
          <w:right w:w="28" w:type="dxa"/>
        </w:tblCellMar>
      </w:tblPr>
      <w:tblGrid>
        <w:gridCol w:w="124"/>
        <w:gridCol w:w="256"/>
        <w:gridCol w:w="529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approvals of such product;</w:t>
            </w:r>
          </w:p>
        </w:tc>
      </w:tr>
    </w:tbl>
    <w:tbl>
      <w:tblPr>
        <w:tblW w:w="6021" w:type="dxa"/>
        <w:jc w:val="left"/>
        <w:tblInd w:w="0" w:type="dxa"/>
        <w:tblLayout w:type="fixed"/>
        <w:tblCellMar>
          <w:top w:w="28" w:type="dxa"/>
          <w:left w:w="28" w:type="dxa"/>
          <w:bottom w:w="28" w:type="dxa"/>
          <w:right w:w="28" w:type="dxa"/>
        </w:tblCellMar>
      </w:tblPr>
      <w:tblGrid>
        <w:gridCol w:w="124"/>
        <w:gridCol w:w="256"/>
        <w:gridCol w:w="564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additional warnings on the label;</w:t>
            </w:r>
          </w:p>
        </w:tc>
      </w:tr>
    </w:tbl>
    <w:tbl>
      <w:tblPr>
        <w:tblW w:w="9786" w:type="dxa"/>
        <w:jc w:val="left"/>
        <w:tblInd w:w="0" w:type="dxa"/>
        <w:tblLayout w:type="fixed"/>
        <w:tblCellMar>
          <w:top w:w="28" w:type="dxa"/>
          <w:left w:w="28" w:type="dxa"/>
          <w:bottom w:w="28" w:type="dxa"/>
          <w:right w:w="28" w:type="dxa"/>
        </w:tblCellMar>
      </w:tblPr>
      <w:tblGrid>
        <w:gridCol w:w="124"/>
        <w:gridCol w:w="256"/>
        <w:gridCol w:w="940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create a medication guide outlining the risks of such side effects for distribution to patients;</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harm caused to patients; and</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2616" w:type="dxa"/>
        <w:jc w:val="left"/>
        <w:tblInd w:w="0" w:type="dxa"/>
        <w:tblLayout w:type="fixed"/>
        <w:tblCellMar>
          <w:top w:w="28" w:type="dxa"/>
          <w:left w:w="28" w:type="dxa"/>
          <w:bottom w:w="28" w:type="dxa"/>
          <w:right w:w="28" w:type="dxa"/>
        </w:tblCellMar>
      </w:tblPr>
      <w:tblGrid>
        <w:gridCol w:w="124"/>
        <w:gridCol w:w="256"/>
        <w:gridCol w:w="223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Any of these events could prevent us from achieving or maintaining market acceptance of the particular product candidate, if approved, and could significantly harm our business, results of operations and prospects.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A Fast Track designation from the FDA, even if granted for any of our product candidates, may not lead to a faster development or regulatory review or approval process, and does not increase the likelihood that our product candidates will receive regulatory approval.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July 29, 2024, the FDA granted Fast Track designation for soquelitinib for the treatment of adult patients with relapsed or refractory peripheral T-cell lymphoma after at least two lines of systemic therapy. Depending on the data from our preclinical and clinical studies, we may decide to seek additional Fast Track designations for some or all of our other product candidates. The Fast Track program is intended to expedite or facilitate the process for reviewing product candidates that meet certain criteria. Specifically, drugs and biologics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BLA or NDA is submitted, the application may be eligible for priority review. An NDA or BLA submitted for a Fast Track product candidate may also be eligible for rolling review, where the FDA may consider for review sections of the application on a rolling basis before the complete application is submitted, if the sponsor provides a schedule for the submission of the sections of the NDA or BLA, the FDA agrees to accept sections of the NDA or BLA and determines that the schedule is acceptable, and the sponsor pays any required user fees upon submission of the first section of the application.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FDA has broad discretion whether or not to grant this designation. Even if we believe a particular product candidate is eligible for this designation, we cannot assure you that the FDA would decide to grant it. Even if we do receive Fast Track designation for any of our product candidates, such product candidates may not experience a faster development process, review or approval compared to conventional FDA procedures. The FDA may also withdraw Fast Track designation if it believes that the designation is no longer supported by data from our clinical development program. Furthermore, such a designation does not increase the likelihood that soquelitinib or any other product candidate that may be granted Fast Track designation will receive regulatory approval in the U.S. Many product candidates that have received Fast Track designation have ultimately failed to obtain approval.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successful in our efforts to identify or discover additional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success of our business depends primarily upon our ability to develop and commercialize soquelitinib, ciforadenant and mupadolimab. Although soquelitinib, ciforadenant and mupadolimab are currently in clinical development, our research programs may fail to identify other potential product candidates, or advance them into and through clinical development for a number of reasons. Our research methodology may be unsuccessful in identifying other potential product candidates or our other potential product candidates may be shown to have harmful side effects or may have other characteristics that may make the products unmarketable or unlikely to receive marketing approval. It may also take greater human and financial resources to identify additional therapeutic opportunities for our product candidates or to develop suitable potential product candidates through our research programs than we will possess, thereby limiting our ability to diversify and expand our product candidate portfolio.</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Reliance on Third Parties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rely, and expect to continue to rely, on third parties to conduct our clinical trials. If these third parties do not meet our deadlines or otherwise conduct the trials as required, our clinical development programs could be delayed or unsuccessful and we may not be able to obtain regulatory approval for or commercialize our product candidates when expected, or at all.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do not have the ability to conduct all aspects of our preclinical testing or clinical trials ourselves. As a result, we are dependent on third parties to conduct our ongoing and planned clinical trials for soquelitinib, ciforadenant and mupadolimab and expect to continue to be dependent on third parties to conduct any additional future clinical trials of soquelitinib, ciforadenant and mupadolimab and preclinical and clinical trials for our other product candidates. The timing of the initiation and completion of these trials will therefore be controlled by such third parties and may occur at times substantially different from our estimates. Specifically, we use and rely on medical institutions, clinical investigators, CROs and consultants to conduct our trials in accordance with our clinical protocols and regulatory requirements. Such CROs, investigators and other third parties play a significant role in the conduct of these trials and subsequent collection and analysis of data, and we will control only certain aspects of their activities. Nevertheless, we are responsible for ensuring that each of our studies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the competent authorities of the EU member states and comparable foreign regulatory authorities for all of our product candidates in clinical development.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or similar regulations. Our failure to comply with these regulations may require us to repeat clinical trials, which would delay the regulatory approval process.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is no guarantee that any such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or foreign regulatory authorities conclude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BLA or other applications we submit to the FDA or foreign regulatory authorities. Any such delay or rejection could prevent us from commercializing soquelitinib, ciforadenant and mupadolimab or our other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rely on third parties to conduct some or all aspects of our manufacturing, research and preclinical and clinical testing, and these third parties may not perform satisfactorily.</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do not expect to independently conduct all aspects of our manufacturing, research and preclinical and clinical testing. We currently rely, and expect to continue to rely, on third parties with respect to these items. If these third parties do not successfully carry out their contractual duties, meet expected deadlines or conduct our studies in accordance with regulatory requirements or our stated study plans and protocols, we may not be able to complete, or may be delayed in completing, the preclinical and clinical studies required to support future IND or other submissions and approval of our product candidates. Furthermore, any of these third parties may terminate its engagement with us at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any time. If we need to enter into alternative arrangements, it could delay our product development activities, and we may not be able to negotiate alternative arrangements on commercially reasonable terms, or at all.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and our contract manufacturers are subject to significant regulation with respect to manufacturing our products and the contract manufacturers on which we rely may not continue to meet regulatory requirements.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do not currently have nor do we plan to acquire the infrastructure or internal capability to manufacture our clinical drug supplies for use in the conduct of our trials, and we lack the resources and the capability to manufacture any of our product candidates on a clinical or commercial scale. We currently rely on several different manufacturers who supply different parts of the ciforadenant and soquelitinib molecules, on one manufacturer for mupadolimab drug substance and on other third-party manufacturers to produce our other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an NDA or BLA on a timely basis and must adhere to the FDA’s Good Laboratory Practice regulations and cGMP regulations enforced by the FDA through its facilities inspection program. Our facilities and quality systems and the facilities and quality systems of some or all of our third-party contractors must successfully complete a pre-approval inspection for compliance with the applicable regulations as a condition of regulatory approval of our product candidates or any of our other potential products. In addition, the regulatory authorities may, at any time, audit or inspect our manufacturing facilities or those of our third-party contractors involved with the preparation of our product candidates or the associated quality systems for compliance with the regulations applicable to the activities being conducted. We do not control the manufacturing process of, and are completely dependent on, our contract manufacturing partners for compliance with cGMPs. Similar requirements must be complied with in foreign jurisdictions.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Such violations could also result in civil and/or criminal penalties, and the FDA or foreign regulatory authorities may impose regulatory sanctions including, among other things, refusal to approve a pending application for a new drug product or biologic product, revocation of a pre-existing approval or closing one or more manufacturing facilities.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if supply from an approved manufacturer is interrupted, there could be a significant disruption in commercial supply. An alternative manufacturer would need to be qualified through an NDA or BLA supplement which could result in further delay. The regulatory agencies may also require additional studies if a new manufacturer is relied upon for commercial production. Changing manufacturers may involve substantial costs and is likely to result in a delay in our desired clinical and commercial timelines.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or our third-party manufacturers, may be unable to successfully scale-up manufacturing of our product candidates in sufficient quality and quantity, which would delay or prevent us from developing our product candidates and commercializing approved products, if any.</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order to conduct clinical trials of our product candidates, we will need to manufacture them in large quantities. We, or any manufacturing partners, may be unable to successfully increase the manufacturing capacity for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any of our product candidates in a timely or cost-effective manner, or at all. In addition, quality issues may arise during scale-up activities. If we or any manufacturing partners are unable to successfully scale up the manufacture of our product candidates in sufficient quality and quantity, the development, testing and clinical trials of that product candidate may be delayed or become infeasible, and regulatory approval or commercial launch of any resulting product may be delayed or not obtained, which could significantly harm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the supply chain for the manufacturing of our product candidates is complicated and can involve several parties. If we were to experience any supply chain issues, our product supply could be seriously disrupted. We expect that the logistical challenges associated with our supply chain will grow more complex as we expand enrollment in our clinical trials for soquelitinib, ciforadenant and mupadolimab and as we commence any clinical trials for additional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reliance on third parties requires us to share our trade secrets, which increases the possibility that a competitor will discover them or that our trade secrets will be misappropriated or disclosed.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Because we rely on third parties to research and develop and to manufacture our product candidates, we must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will likely expect to be granted rights to publish data arising out of such collaboration.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Commercialization of Our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commercialize our product candidates or if we experience significant delays in obtaining regulatory approval for, or commercializing, any or all of our product candidates, our business will be materially and adversely affected.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ability to generate product revenue will depend heavily on our ability to successfully develop and commercialize our product candidates. We do not expect that such commercialization of any of our product candidates will occur for at least the next few years, if ever. Our ability to commercialize our product candidates effectively will depend on several factors,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completion of preclinical studies and clinical trials, including the ability to demonstrate safety and efficacy of our product candidates;</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the complexity of our clinical trial designs;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7581" w:type="dxa"/>
        <w:jc w:val="left"/>
        <w:tblInd w:w="0" w:type="dxa"/>
        <w:tblLayout w:type="fixed"/>
        <w:tblCellMar>
          <w:top w:w="28" w:type="dxa"/>
          <w:left w:w="28" w:type="dxa"/>
          <w:bottom w:w="28" w:type="dxa"/>
          <w:right w:w="28" w:type="dxa"/>
        </w:tblCellMar>
      </w:tblPr>
      <w:tblGrid>
        <w:gridCol w:w="124"/>
        <w:gridCol w:w="256"/>
        <w:gridCol w:w="720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marketing approvals from the FDA and similar foreign regulatory authorities;</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commercial manufacturing capabilities by making arrangements with third-party manufacturers;</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launching commercial sales of any approved products, whether alone or in collaboration with others;</w:t>
            </w:r>
          </w:p>
        </w:tc>
      </w:tr>
    </w:tbl>
    <w:tbl>
      <w:tblPr>
        <w:tblW w:w="8406" w:type="dxa"/>
        <w:jc w:val="left"/>
        <w:tblInd w:w="0" w:type="dxa"/>
        <w:tblLayout w:type="fixed"/>
        <w:tblCellMar>
          <w:top w:w="28" w:type="dxa"/>
          <w:left w:w="28" w:type="dxa"/>
          <w:bottom w:w="28" w:type="dxa"/>
          <w:right w:w="28" w:type="dxa"/>
        </w:tblCellMar>
      </w:tblPr>
      <w:tblGrid>
        <w:gridCol w:w="124"/>
        <w:gridCol w:w="256"/>
        <w:gridCol w:w="802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any approved products by patients, the medical community and third-party payors;</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market share while competing with other therapies;</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continued acceptable safety profile of any approved products;</w:t>
            </w:r>
          </w:p>
        </w:tc>
      </w:tr>
    </w:tbl>
    <w:tbl>
      <w:tblPr>
        <w:tblW w:w="7281" w:type="dxa"/>
        <w:jc w:val="left"/>
        <w:tblInd w:w="0" w:type="dxa"/>
        <w:tblLayout w:type="fixed"/>
        <w:tblCellMar>
          <w:top w:w="28" w:type="dxa"/>
          <w:left w:w="28" w:type="dxa"/>
          <w:bottom w:w="28" w:type="dxa"/>
          <w:right w:w="28" w:type="dxa"/>
        </w:tblCellMar>
      </w:tblPr>
      <w:tblGrid>
        <w:gridCol w:w="124"/>
        <w:gridCol w:w="256"/>
        <w:gridCol w:w="690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compliance with post-approval regulation and other requirements;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qualifying for, identifying, registering, maintaining, enforcing and defending intellectual property rights and claims covering our product candidates.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experience significant delays or an inability to commercialize our product candidates, our business, financial condition and results of operations will be materially adversely affected.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do not achieve our projected development goals in the time frames we announce and expect, the commercialization of our products may be delayed and, as a result, our stock price may decline.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will be based on a variety of assumptions, and the actual timing of these milestones can vary dramatically compared to our estimates, in some cases for reasons beyond our control. If we do not meet these milestones as publicly announced, the commercialization of our products may be delayed and, as a result, our stock price may decline.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Any approved products could be subject to restrictions or withdrawal from the market, and we may be subject to penalties if we fail to comply with regulatory requirements or if we experience unanticipated problems with our product candidates, when and if any of them are approved.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Following potential approval of any of our product candidates, the FDA or foreign regulatory authorities may impose significant restrictions on a product’s indicated uses or marketing or impose ongoing requirements for potentially costly and time consuming post-approval studies, post-market surveillance or clinical trials. Following approval, if any, of soquelitinib, ciforadenant and mupadolimab or any other product candidate, such candidate will also be subject to ongoing FDA or foreign regulatory authorities’ requirements governing the labeling, packaging, storage, distribution, safety surveillance, advertising, promotion, recordkeeping and reporting of safety and other post-market information. If we or a regulatory agency discovers previously unknown problems with a product, such as adverse events of unanticipated severity or frequency, or problems with the facility where the product is manufactured, a regulatory agency may impose restrictions on that product, the manufacturing facility or us, including requesting recall or withdrawal of the product from the market or suspension of manufacturing.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or the manufacturing facilities for soquelitinib, ciforadenant and mupadolimab or any other product candidate that may receive regulatory approval, if any, fail to comply with applicable regulatory requirements, a regulatory agency may:</w:t>
      </w:r>
    </w:p>
    <w:tbl>
      <w:tblPr>
        <w:tblW w:w="3681" w:type="dxa"/>
        <w:jc w:val="left"/>
        <w:tblInd w:w="0" w:type="dxa"/>
        <w:tblLayout w:type="fixed"/>
        <w:tblCellMar>
          <w:top w:w="28" w:type="dxa"/>
          <w:left w:w="28" w:type="dxa"/>
          <w:bottom w:w="28" w:type="dxa"/>
          <w:right w:w="28" w:type="dxa"/>
        </w:tblCellMar>
      </w:tblPr>
      <w:tblGrid>
        <w:gridCol w:w="124"/>
        <w:gridCol w:w="256"/>
        <w:gridCol w:w="330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warning letters or untitled letters;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6516" w:type="dxa"/>
        <w:jc w:val="left"/>
        <w:tblInd w:w="0" w:type="dxa"/>
        <w:tblLayout w:type="fixed"/>
        <w:tblCellMar>
          <w:top w:w="28" w:type="dxa"/>
          <w:left w:w="28" w:type="dxa"/>
          <w:bottom w:w="28" w:type="dxa"/>
          <w:right w:w="28" w:type="dxa"/>
        </w:tblCellMar>
      </w:tblPr>
      <w:tblGrid>
        <w:gridCol w:w="124"/>
        <w:gridCol w:w="256"/>
        <w:gridCol w:w="613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an injunction or impose civil or criminal penalties or monetary fines;</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or withdraw regulatory approval;</w:t>
            </w:r>
          </w:p>
        </w:tc>
      </w:tr>
    </w:tbl>
    <w:tbl>
      <w:tblPr>
        <w:tblW w:w="3441" w:type="dxa"/>
        <w:jc w:val="left"/>
        <w:tblInd w:w="0" w:type="dxa"/>
        <w:tblLayout w:type="fixed"/>
        <w:tblCellMar>
          <w:top w:w="28" w:type="dxa"/>
          <w:left w:w="28" w:type="dxa"/>
          <w:bottom w:w="28" w:type="dxa"/>
          <w:right w:w="28" w:type="dxa"/>
        </w:tblCellMar>
      </w:tblPr>
      <w:tblGrid>
        <w:gridCol w:w="124"/>
        <w:gridCol w:w="256"/>
        <w:gridCol w:w="306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any ongoing clinical trials;</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refuse to approve pending applications or supplements or applications filed by us;</w:t>
            </w:r>
          </w:p>
        </w:tc>
      </w:tr>
    </w:tbl>
    <w:tbl>
      <w:tblPr>
        <w:tblW w:w="8526" w:type="dxa"/>
        <w:jc w:val="left"/>
        <w:tblInd w:w="0" w:type="dxa"/>
        <w:tblLayout w:type="fixed"/>
        <w:tblCellMar>
          <w:top w:w="28" w:type="dxa"/>
          <w:left w:w="28" w:type="dxa"/>
          <w:bottom w:w="28" w:type="dxa"/>
          <w:right w:w="28" w:type="dxa"/>
        </w:tblCellMar>
      </w:tblPr>
      <w:tblGrid>
        <w:gridCol w:w="124"/>
        <w:gridCol w:w="256"/>
        <w:gridCol w:w="814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or impose restrictions on operations, including costly new manufacturing requirements; or</w:t>
            </w:r>
          </w:p>
        </w:tc>
      </w:tr>
    </w:tbl>
    <w:tbl>
      <w:tblPr>
        <w:tblW w:w="9801" w:type="dxa"/>
        <w:jc w:val="left"/>
        <w:tblInd w:w="0" w:type="dxa"/>
        <w:tblLayout w:type="fixed"/>
        <w:tblCellMar>
          <w:top w:w="28" w:type="dxa"/>
          <w:left w:w="28" w:type="dxa"/>
          <w:bottom w:w="28" w:type="dxa"/>
          <w:right w:w="28" w:type="dxa"/>
        </w:tblCellMar>
      </w:tblPr>
      <w:tblGrid>
        <w:gridCol w:w="124"/>
        <w:gridCol w:w="256"/>
        <w:gridCol w:w="942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seize or detain products, refuse to permit the import or export of product or request that we initiate a product recall.</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occurrence of any event or penalty described above may inhibit our ability to commercialize our product candidates and generate revenue.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FDA has the authority to require a risk evaluation and mitigation strategy (“REMS”) as part of an NDA or BLA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and requiring treated patients to enroll in a registry. Similar risks exist in foreign jurisdictions.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if soquelitinib, ciforadenant and mupadolimab or any of our other product candidates is approved, our product labeling, advertising and promotion will be subject to regulatory requirements and continuing regulatory review. The FDA and foreign regulatory authorities strictly regulate the promotional claims that may be made about prescription products. In particular, a product may not be promoted for uses that are not approved by the FDA or foreign regulatory authorities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 the FDA’s and other regulatory authorities’ policies may change and additional government regulations may be enacted that could prevent, limit or delay regulatory approval of our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Disruptions at the FDA and other government agencies caused by funding shortages, staff reductions or policy changes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ability of the FDA and foreign regulatory authorities to review and/or approve new products can be affected by a variety of factors, including government budget and funding levels, staff reductions,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Disruptions at the FDA and other agencies may also slow the time necessary for new drugs and biologics or modifications to approved drugs or biologics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a prolonged government shutdown occurs, or if funding shortages, staffing reductions or policy changes prevent the FDA or other regulatory authorities from conducting their regular inspections, reviews, or other regulatory activities, such events could significantly impact the ability of the FDA or other regulatory authorities to timely review and process our regulatory submissions, which could have a material adverse effect on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Even if we receive regulatory approval we still may not be able to successfully commercialize soquelitinib, ciforadenant and mupadolimab or any other product candidate, and the revenue that we generate from sales, if any, could be limited.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Even if soquelitinib, ciforadenant and mupadolimab or any of our other product candidates receive regulatory approval, they may not gain market acceptance among physicians, patients, healthcare payors or the medical community. The degree of market acceptance of our product candidates will depend on a number of factors, including:</w:t>
      </w:r>
    </w:p>
    <w:tbl>
      <w:tblPr>
        <w:tblW w:w="7881" w:type="dxa"/>
        <w:jc w:val="left"/>
        <w:tblInd w:w="0" w:type="dxa"/>
        <w:tblLayout w:type="fixed"/>
        <w:tblCellMar>
          <w:top w:w="28" w:type="dxa"/>
          <w:left w:w="28" w:type="dxa"/>
          <w:bottom w:w="28" w:type="dxa"/>
          <w:right w:w="28" w:type="dxa"/>
        </w:tblCellMar>
      </w:tblPr>
      <w:tblGrid>
        <w:gridCol w:w="124"/>
        <w:gridCol w:w="256"/>
        <w:gridCol w:w="750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demonstration of clinical efficacy and safety compared to other more-established products;</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indications for which our product candidates are approved;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our targeted patient population and other limitations or warnings contained in any FDA-approved labeling;</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a new formulation by healthcare providers and their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sufficient third-party coverage and reimbursement from government healthcare programs, including Medicare and Medicaid, private health insurers and other third-party payors;</w:t>
            </w:r>
          </w:p>
        </w:tc>
      </w:tr>
    </w:tbl>
    <w:tbl>
      <w:tblPr>
        <w:tblW w:w="9126" w:type="dxa"/>
        <w:jc w:val="left"/>
        <w:tblInd w:w="0" w:type="dxa"/>
        <w:tblLayout w:type="fixed"/>
        <w:tblCellMar>
          <w:top w:w="28" w:type="dxa"/>
          <w:left w:w="28" w:type="dxa"/>
          <w:bottom w:w="28" w:type="dxa"/>
          <w:right w:w="28" w:type="dxa"/>
        </w:tblCellMar>
      </w:tblPr>
      <w:tblGrid>
        <w:gridCol w:w="124"/>
        <w:gridCol w:w="256"/>
        <w:gridCol w:w="874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patients to pay out-of-pocket in the absence of third-party coverage and reimbursement;</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any adverse effects;</w:t>
            </w:r>
          </w:p>
        </w:tc>
      </w:tr>
    </w:tbl>
    <w:tbl>
      <w:tblPr>
        <w:tblW w:w="3006" w:type="dxa"/>
        <w:jc w:val="left"/>
        <w:tblInd w:w="0" w:type="dxa"/>
        <w:tblLayout w:type="fixed"/>
        <w:tblCellMar>
          <w:top w:w="28" w:type="dxa"/>
          <w:left w:w="28" w:type="dxa"/>
          <w:bottom w:w="28" w:type="dxa"/>
          <w:right w:w="28" w:type="dxa"/>
        </w:tblCellMar>
      </w:tblPr>
      <w:tblGrid>
        <w:gridCol w:w="124"/>
        <w:gridCol w:w="256"/>
        <w:gridCol w:w="262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and cost-effectiveness;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7746" w:type="dxa"/>
        <w:jc w:val="left"/>
        <w:tblInd w:w="0" w:type="dxa"/>
        <w:tblLayout w:type="fixed"/>
        <w:tblCellMar>
          <w:top w:w="28" w:type="dxa"/>
          <w:left w:w="28" w:type="dxa"/>
          <w:bottom w:w="28" w:type="dxa"/>
          <w:right w:w="28" w:type="dxa"/>
        </w:tblCellMar>
      </w:tblPr>
      <w:tblGrid>
        <w:gridCol w:w="124"/>
        <w:gridCol w:w="256"/>
        <w:gridCol w:w="736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market introduction of our product candidates as well as competitive drugs;</w:t>
            </w:r>
          </w:p>
        </w:tc>
      </w:tr>
    </w:tbl>
    <w:tbl>
      <w:tblPr>
        <w:tblW w:w="9741" w:type="dxa"/>
        <w:jc w:val="left"/>
        <w:tblInd w:w="0" w:type="dxa"/>
        <w:tblLayout w:type="fixed"/>
        <w:tblCellMar>
          <w:top w:w="28" w:type="dxa"/>
          <w:left w:w="28" w:type="dxa"/>
          <w:bottom w:w="28" w:type="dxa"/>
          <w:right w:w="28" w:type="dxa"/>
        </w:tblCellMar>
      </w:tblPr>
      <w:tblGrid>
        <w:gridCol w:w="124"/>
        <w:gridCol w:w="256"/>
        <w:gridCol w:w="936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our or any of our existing or potential future collaborators’ sales and marketing strategies; and</w:t>
            </w:r>
          </w:p>
        </w:tc>
      </w:tr>
    </w:tbl>
    <w:tbl>
      <w:tblPr>
        <w:tblW w:w="5046" w:type="dxa"/>
        <w:jc w:val="left"/>
        <w:tblInd w:w="0" w:type="dxa"/>
        <w:tblLayout w:type="fixed"/>
        <w:tblCellMar>
          <w:top w:w="28" w:type="dxa"/>
          <w:left w:w="28" w:type="dxa"/>
          <w:bottom w:w="28" w:type="dxa"/>
          <w:right w:w="28" w:type="dxa"/>
        </w:tblCellMar>
      </w:tblPr>
      <w:tblGrid>
        <w:gridCol w:w="124"/>
        <w:gridCol w:w="256"/>
        <w:gridCol w:w="466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publicity relating to the product candidate.</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any product candidate is approved but does not achieve an adequate level of acceptance by physicians, hospitals, healthcare payors or patients, we may not generate sufficient revenue from that product candidate and may not become or remain profitable. Our efforts to educate the medical community and third-party payors regarding the benefits of soquelitinib, ciforadenant and mupadolimab or any of our other product candidates may require significant resources and may never be successful.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obtain or maintain adequate coverage and reimbursement for our product candidates, if approved, could limit our ability to market those products and decrease our ability to generate revenue.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Successful commercial sales of any approved products will depend on the availability of adequate coverage and reimbursement from government health administration authorities, private health insurers and other third-party payors. Each third-party payor separately decides which products it will cover and establishes the reimbursement level, and there is no guarantee that any of our product candidates that may be approved for marketing by regulatory authorities will receive adequate coverage or reimbursement levels. Obtaining and maintaining coverage approval for a product candidate is time-consuming, costly and may be difficult. We may be required to conduct expensive pharmacoeconomic studies to justify coverage and reimbursement or the level of coverage and reimbursement relative to other therapies. If coverage and adequate reimbursement are not available or limited, we may not be able to successfully commercialize any product candidate for which we obtain marketing approval.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and biologics. Even if we obtain coverage for a given product, the resulting reimbursement rates may be inadequate and may affect the demand for, or the price of, any product candidate for which we obtain marketing approval.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enacted legislation, future legislation and healthcare reform measures may increase the difficulty and cost for us to obtain marketing approval for and commercialize our product candidates and affect the prices we may obtain.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biologics and affect our ability to profitably sell any product candidates for which we obtain marketing approval.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example, in March 2010, the Patient Protection and Affordable Care Act, as amended by the Health Care and Education Reconciliation Act (collectively referred to as the “ACA”), was enacted with a goal of reducing the cost of healthcare and substantially changing the way healthcare is financed by both governmental and private insurers.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extended the rebate program to individuals enrolled in Medicaid managed care organizations; established annual fees and taxes on manufacturers of certain prescription drugs; and established a new Patient-Centered Outcomes Research Institute to oversee, identify priorities and conduct comparative clinical effectiveness research, along with funding for such research.</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Other legislative changes have been proposed and adopted in the U.S. since the ACA was enacted. On March 11, 2021, the American Rescue Plan Act of 2021 was signed into law, which eliminated the statutory Medicaid drug rebate cap, beginning January 1, 2024. The rebate was previously capped at 100% of a drug’s average manufacturer price (“AMP”). On August 16, 2022, the Inflation Reduction Act of 2022 (“IRA”) was signed into law.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(“HHS”) to implement many of these provisions through guidance, as opposed to regulation, for the initial years. HHS has issued and will continue to issue guidance implementing the IRA. CMS has published the negotiated prices for the initial ten drugs, which went into effect in 2026, and the subsequent 15 drugs, which will first be effective in 2027, as well as the next set of 15 drugs that will be subject to negotiation, although the Medicare drug price negotiation program is currently subject to legal challenges. While the impact of the IRA on the pharmaceutical industry cannot yet be fully determined, it is likely to be significant.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may commercialize.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Trump administration is pursuing a two-fold strategy to reduce drug costs in the U.S.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entered into confidential pricing agreements with the federal government. In April 2026, the Trump administration issued a proclamation imposing tariffs on imports of patented pharmaceuticals, biologics and associated ingredients into the U.S., beginning July 31, 2026. Any manufacturers that entered into a company-specific agreement with the government prior to the proclamation will not be subject to any additional tariffs until January 20, 2029. The Trump administration is also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proposals or executive actions that are ultimately deemed unlawful could negatively impact the U.S. pharmaceutical sector and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Additionally,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expect that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 Further, EU pharmaceutical legislation is currently undergoing a complete review process, with proposed revisions not expected to become applicable prior to the end of 2027. These revisions may have a significant impact on the pharmaceutical industry and our business in the long term.</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December 13, 2021, Regulation No 2021/2282 on Health Technology Assessment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and ethical) aspects of health technology, and making decisions on pricing and reimbursement.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Any product candidates for which we intend to seek approval as biologic products may face competition sooner than anticipated.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ACA includes a subtitle called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Mupadolimab, which we evaluated in a Phase 1/1b oncology clinical trial is regulated by the FDA as a biological product. We believe that mupadolimab and any of our future product candidates, if approved as a biological product under a BLA, should qualify for the twelve-year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also been the subject of recent litigation. Jurisdictions in addition to the United States have established abbreviated pathways for regulatory approval of biological products that are biosimilar to earlier approved reference products. For example, the EU has had an established regulatory pathway for biosimilars since 2006. Moreover, the extent to which a biosimilar, once approved, could be substituted for any one of our reference products in a way that is similar to traditional generic substitution for non-biological products will depend on a number of marketplace factors.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fail to obtain orphan drug designations from the FDA for our product candidates, and even if we obtain such designations, we may be unable to maintain the benefits associated with orphan drug designation, including the potential for market exclusivity.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the Orphan Drug Act, the FDA may grant orphan drug designation to a drug or biologic intended to treat a rare disease or condition, which is defined as one occurring in a patient population of fewer than 200,000 in the United States, or a patient population greater than 200,000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orphan drug exclusivity, which means that the FDA may not approve any other applications, including a full NDA or BLA, to market the same drug or biologic for the same approved indication or use within such disease or condition for seven years, except in limited circumstances, such as a showing of clinical superiority to the product with orphan drug exclusivity in the relevant indication or where the manufacturer is unable to assure sufficient product quantity to meet the needs relating to the approved indication or use of patients with the relevant disease or condition.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February 7, 2024, the FDA granted orphan drug designation for soquelitinib for the treatment of T cell lymphoma. We also believe many of the targeted indications of our other product candidates could qualify for orphan drug designation. As a result, we may seek to obtain additional orphan drug designations in the future. Even if we obtain such designations, we may not be the first to obtain marketing approval of our product candidate for the orphan-designated disease or condition due to the uncertainties associated with developing pharmaceutical products. In addition, exclusive marketing rights in the United States may be limited if we seek approval for a disease or condition broader than the orphan-designated disease or condition or may be lost if the FDA later determines that the request for designation was materially defective or if the manufacturer is unable to assure sufficient quantities of the product to meet the needs relating to the approved indication or use of patients with the rare disease or condition. Further, even if we obtain orphan drug exclusivity for a product, that exclusivity may not effectively protect the product from competition because different drugs can be approved for the same indications and uses. Even after an orphan product is approved, the FDA can subsequently approve the “same drug,” as defined by the FDA, for the same indication or use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other product candidates, we may never receive such designations.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expend our limited resources to pursue a particular product candidate and fail to capitalize on product candidates that may be more profitable or for which there is a greater likelihood of success.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Because we have limited financial and managerial resources, we are currently focusing on soquelitinib and ciforadenant. As a result, we may forgo or delay pursuit of opportunities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form additional strategic alliances and collaborative partnerships in the future, and we may not realize the benefits of such alliances.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form strategic alliances, create joint ventures or collaborations or enter into licensing arrangements with third parties that we believe will complement or augment our existing business, including for the continued development or commercialization of our product candidates. These relationships may result in or include non-recurring and other charges, increased near- and long-term expenditures, the issuance of securities that dilute our existing stockholders or disruptions to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third parties may view the risk of failure in future clinical trials as too significant or the commercial opportunity for our product candidates as too limited. We cannot be certain that, following a strategic transaction or license, we will achieve the revenue or specific net income that justifies such transaction.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Even if we are successful in our efforts to establish strategic alliances or collaborative partnerships, the terms that we agree upon may not be favorable to us, and we may not be able to maintain such strategic alliances or collaborative partnerships if, for example, development or approval of a product candidate is delayed, the safety of a product candidate is questioned or sales of an approved product candidate are unsatisfactory. In addition, any existing or potential future strategic alliances or collaborative partnerships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strategic alliances or collaborative partnerships we enter into in the future, or any delay in entering into collaborative partnership agreements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October 2020, we formed Angel Pharmaceuticals with a group of investors in China to create a new China-based biopharmaceutical company with a mission to bring innovative quality medicines to Chinese patients for treatment of serious diseases including cancer, autoimmune diseases and infectious diseases. We granted Angel Pharmaceuticals a license to rights to develop and commercialize our three clinical-stage candidates – soquelitinib, ciforadenant and mupadolimab – in greater China and obtained global rights to our BTK inhibitor preclinical programs. While certain of our executive officers and directors will initially be on the board of directors of Angel Pharmaceuticals, we have limited control over it and so we will be subject to many of the same risks set forth above with respect to all collaborations. Additionally, any actions taken by the Chinese government to implement trade policy changes, financial restrictions, or increased regulatory scrutiny on U.S. companies could negatively impact Angel Pharmaceuticals. For instance, China has previously taken or threatened to take trade and other actions in retaliation against U.S. policies, and is likely to continue to do so. Past or future developments in this regard may have a material adverse effect on the economies, financial markets, and currency exchange rates in China and the United States. Tensions between the United States and China have increased over the past few years as a result of disputes in areas including trade policy, intellectual property, cybersecurity and data privacy, due to the current U.S. Presidential Administration’s imposition of tariffs and other trade controls, as well as due to geopolitical conflicts such as the war between Ukraine and Russia and conflicts or tensions in the Middle East and Venezuela. Our interests in Angel Pharmaceuticals could be harmed if relations between the United States and China worsen or if either government imposes additional policies, tariffs or sanctions and our business could encounter increased regulatory scrutiny in China, as well as adverse media or public attention in China, as a result of the deteriorating bilateral relationship.</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Angel Pharmaceuticals will also be subject to many of the same risks that are set forth in this “Risk Factors” section pertaining to operations, government regulation, and intellectual property, which may adversely affect Angel Pharmaceuticals’ ability to develop and commercialize products.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face competition from entities that have developed or may develop product candidates for cancer and immune diseases,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attempt to develop product candidates. In particular, there is intense and rapidly evolving competition in the immunology therapeutics field. Our competitors include larger and better funded pharmaceutical, biopharmaceutical, biotechnological and therapeutics companies. Moreover, we also compete with universities and other research institutions that may be active in oncology research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registering subjects for clinical trials and in identifying and in-licensing new product candidates. Smaller or early-stage companies may also prove to be significant competitors, particularly through collaborative arrangements with large and established companies.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oncology, there are large pharmaceutical companies with approved products or products in late-stage development that target kinases and immune checkpoints. There is also intense competition in the areas of inflammation and autoimmune diseases. Several drugs and biologics have been approved or are in late stage development for treatment of atopic dermatitis and other inflammatory diseases.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The market opportunities for our product candidates may be limited to those patients who are ineligible for or have failed prior treatments and may be small.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Cancer therapies are sometimes characterized as first-line, second-line or third-line, which refers to the number of prior therapies required to be used prior to administration of the relevant therapy, and the FDA commonly approves new therapies initially for later-line uses. When cancer is detected early enough, first line therapy is sometimes adequate to cure the cancer or prolong life without a cure. Whenever first-line therapy, usually chemotherapy, hormone therapy, surgery or a combination of these, proves unsuccessful, second-line therapy may be administered. Second-line therapies often consist of more chemotherapy, radiation, antibody drugs, tumor targeted small molecules or a combination of these. Third-line therapies can include bone marrow transplantation, antibody and small molecule targeted therapies, more invasive forms of surgery and new technologies. In markets with approved therapies, we expect to initially seek approval of our product candidates as a later stage therapy for patients who have failed other approved treatments. Subsequently, for those drugs that prove to be sufficiently beneficial, if any, we would expect to seek approval as a second-line therapy and potentially as a first-line therapy, but there is no guarantee that our product candidates, even if approved, would be approved for second-line or first-line therapy. In addition, we may have to conduct additional clinical trials prior to gaining approval for second-line or first-line therapy. Similarly, products to treat immune diseases may be indicated for early stage or more advanced recurrent diseases. In dermatology, treatments may be administered by topical or systemic routes. Our products may require additional clinical trials to gain approval for these additional indications.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projections of both the number of people who have the cancers and immune diseases that we are targeting,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diseases. The number of patients may turn out to be lower than expected. In addition, the potentially addressable patient population for our product candidates may be limited or may not be amenable to treatment with our product candidates. Even if we obtain significant market share for our product candidates, we may never achieve profitability without obtaining regulatory approval for additional indications, including use as a first or second-line therapy.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have no sales, marketing or distribution capabilities, and we may have to invest significant resources to develop these capabilities.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no internal sales, marketing or distribution capabilities. If soquelitinib, ciforadenant and mupadolimab or any of our other product candidates ultimately receives regulatory approval, we may not be able to effectively market and distribute the product candidate. We may have to seek collaborators or invest significant amounts of financial and management resources to develop internal sales, distribution and marketing capabilities, some of which will be committed prior to any confirmation that soquelitinib, ciforadenant and mupadolimab or any of our other product candidates will be approved, if at all. We may not be able to enter into collaborations or hire consultants or external service providers to assist us in sales, marketing and distribution functions on acceptable financial terms or at all. Even if we determine to perform sales, marketing and distribution functions ourselves, we could face a number of additional related risks, including:</w:t>
      </w:r>
    </w:p>
    <w:tbl>
      <w:tblPr>
        <w:tblW w:w="7656" w:type="dxa"/>
        <w:jc w:val="left"/>
        <w:tblInd w:w="0" w:type="dxa"/>
        <w:tblLayout w:type="fixed"/>
        <w:tblCellMar>
          <w:top w:w="28" w:type="dxa"/>
          <w:left w:w="28" w:type="dxa"/>
          <w:bottom w:w="28" w:type="dxa"/>
          <w:right w:w="28" w:type="dxa"/>
        </w:tblCellMar>
      </w:tblPr>
      <w:tblGrid>
        <w:gridCol w:w="124"/>
        <w:gridCol w:w="256"/>
        <w:gridCol w:w="727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attract and build an effective marketing department or sales force;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establishing a marketing department or sales force may exceed our available financial resources and the revenue generated by soquelitinib, ciforadenant and mupadolimab or any other product candidates that we may develop, in-license or acquire; and</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 sales and marketing efforts may not be successful.</w:t>
            </w:r>
          </w:p>
        </w:tc>
      </w:tr>
    </w:tbl>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Governments may impose price controls, which may adversely affect our future profitability.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intend to seek approval to market our product candidates in both the United States and in foreign jurisdictions. In some foreign countries, particularly in the EU, the pricing of prescription pharmaceuticals is subject to governmental control. In these countries, pricing negotiations with governmental authorities can take considerable time after the receipt of marketing approval for a product candidate. To obtain reimbursement or pricing approval in some countries, we may be required to conduct clinical trials to compare the cost-effectiveness of our product candidates to other available therapies, which is time-consuming and costly. If reimbursement of our future products is unavailable or limited in scope or amount, or if pricing is set at unsatisfactory levels, we may be unable to achieve or sustain profitability.</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Business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results of operations may fluctuate significantly, which makes our future results of operations difficult to predict and could cause our results of operations to fall below expectations or any guidance we may provide.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quarterly and annual results of operations may fluctuate significantly, which makes it difficult for us to predict our future results of operations. These fluctuations may occur due to a variety of factors, many of which are outside of our control,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cost of, and level of investment in, research, development and commercialization activities relating to our product candidates, which may change from time to time;</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coverage and reimbursement policies with respect to our product candidates, if approved, and potential future drugs that compete with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manufacturing our product candidates, which may vary depending on the quantity of production and the terms of our agreements with manufacturers;</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that we may incur to acquire, develop or commercialize additional product candidates and technologies;</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demand for any approved products (if any), which may vary significantly;</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such as increased interest and inflationary pressures;</w:t>
            </w:r>
          </w:p>
        </w:tc>
      </w:tr>
    </w:tbl>
    <w:tbl>
      <w:tblPr>
        <w:tblW w:w="6861" w:type="dxa"/>
        <w:jc w:val="left"/>
        <w:tblInd w:w="0" w:type="dxa"/>
        <w:tblLayout w:type="fixed"/>
        <w:tblCellMar>
          <w:top w:w="28" w:type="dxa"/>
          <w:left w:w="28" w:type="dxa"/>
          <w:bottom w:w="28" w:type="dxa"/>
          <w:right w:w="28" w:type="dxa"/>
        </w:tblCellMar>
      </w:tblPr>
      <w:tblGrid>
        <w:gridCol w:w="124"/>
        <w:gridCol w:w="256"/>
        <w:gridCol w:w="648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accounting pronouncements or changes in our accounting policies;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success or failure of clinical trials for our product candidates or competing product candidates, or any other change in the competitive landscape of our industry, including consolidation among our competitors or partners.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cumulative effects of these factors could result in large fluctuations and unpredictability in our quarterly and annual results of operations. As a result, comparing our results of operations on a period-to-period basis may not be meaningful. Investors should not rely on our past results as an indication of our future performance.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This variability and unpredictability could also result in our failing to meet the expectations of industry or financial analysts or investors for any period. If our revenue or results of operations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are dependent on the services of our President and Chief Executive Officer, Richard A. Miller, M.D., and other key executives, and if we are not able to retain these members of our management or recruit additional management, clinical and scientific personnel, our business will suffer.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dependent on the principal members of our management and scientific staff. The loss of service of any of our management could harm our business. In addition, we are dependent on our continued ability to attract, retain and motivate highly qualified management, clinical and scientific personnel. If we are not able to retain our management, particularly our President and Chief Executive Officer, Dr. Miller, and to attract, on acceptable terms, additional qualified personnel necessary for the continued development of our business, we may not be able to sustain our operations or grow. Although we have executed employment agreements with each member of our current executive management team, including Dr. Miller, these agreements are terminable at will with or without notice and, therefore, we may not be able to retain their services as expected.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will need to expand and effectively manage our managerial, operational, financial and other resources in order to successfully pursue our clinical development and commercialization efforts. We may not be able to attract or retain qualified management and scientific and clinical personnel in the future due to the intense competition for qualified personnel among pharmaceutical, biotechnology and other businesses, particularly in the San Francisco Bay Area.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we do not currently maintain “key person” life insurance on the lives of our executives or any of our employees. This lack of insurance means that we may not have adequate compensation for the loss of the services of these individuals.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encounter difficulties in managing our growth and expanding our operations successfully.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will need to grow our organization substantially to continue development and pursue the potential commercialization of soquelitinib, ciforadenant and mupadolimab and our other product candidates. As we seek to advance soquelitinib, ciforadenant and mupadolimab and other product candidates, we will need to expand our financial,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Our future financial performance and our ability to commercialize our product candidates and to compete effectively will depend, in part, on our ability to manage any future growth effectively.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various federal and state healthcare laws and regulations, and our failure to comply with these laws and regulations could harm our results of operations and financial condition.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Although we do not currently have any products on the market, if we obtain FDA or foreign approval for any of our product candidates and begin commercializing those products in the United States or abroad, our operations may be directly, or indirectly through our customers and third-party payors, subject to various U.S. federal, state and foreign healthcare laws and regulations. These laws will affect our operations, sales and marketing practices, and our relationships with physicians and other customers and third-party payors. Such laws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which prohibits, among other things, persons or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Health Insurance Portability and Accountability Act of 1996 (“HIPAA”), which imposes criminal and civil liability for executing a scheme to defraud any healthcare benefit program or making false statements relating to healthcare matters. Similar to the federal Anti-Kickback Statute, a person or entity does not need to have actual knowledge of the statute or specific intent to violate it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federal Physician Payment Sunshine Act, which requires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certain non-physician practitioners (physician assistants, nurse practitioners, clinical nurse specialists, certified registered nurse anesthetists, anesthesiology assistants and certified nurse midwives) and teaching hospitals, and requires applicable manufacturers and group purchasing organizations to report annually to the government ownership and investment interests held by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physicians described above and their immediate family members. Manufacturers are required to submit reports to the government by the 90th day of each calendar year;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and state laws that require drug manufacturers to report information related to payments and other transfers of value to physicians and other healthcare providers or marketing expenditures and pricing information.</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Ensuring that our internal operations and business arrangements with third-parties comply with applicable healthcare laws and regulations could involve substantial costs. If our operations are found to be in violation of such laws or any other governmental laws and regulations that may apply to us, we may be subject to significant penalties, including civil, criminal and administrative penalties, damages, fines, exclusion from U.S. government funded healthcare programs, such as Medicare and Medicaid, disgorgement, individual imprisonment, contractual damages, reputational harm, diminished profits and the curtailment or restructuring of our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and our current and any existing or future collaborators, third-party manufacturers and suppliers will or may use biological materials and may use hazardous materials, and any claims relating to improper handling, storage or disposal of these materials could be time consuming or costly.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and our current and any existing or future collaborators, third-party manufacturers or suppliers will or may use biological materials and may use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regulatory approvals could be suspended.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product liability lawsuits are brought against us, we may incur substantial liabilities and may be required to limit commercialization of soquelitinib, ciforadenant and mupadolimab or our other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face an inherent risk of product liability as a result of the clinical testing of soquelitinib, ciforadenant and mupadolimab, and the planned clinical testing of our other product candidates and will face an even greater risk if we commercialize our product candidates. For example, we may be sued if soquelitinib, ciforadenant and mupadolimab or our other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could also be asserted under state consumer protection acts.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cannot successfully defend ourselves against product liability claims, we may incur substantial liabilities or be required to limit or cease the commercialization of our product candidates. Even a successful defense would require significant financial and management resources. Regardless of the merits or eventual outcome, liability claims may result in:</w:t>
      </w:r>
    </w:p>
    <w:tbl>
      <w:tblPr>
        <w:tblW w:w="8586" w:type="dxa"/>
        <w:jc w:val="left"/>
        <w:tblInd w:w="0" w:type="dxa"/>
        <w:tblLayout w:type="fixed"/>
        <w:tblCellMar>
          <w:top w:w="28" w:type="dxa"/>
          <w:left w:w="28" w:type="dxa"/>
          <w:bottom w:w="28" w:type="dxa"/>
          <w:right w:w="28" w:type="dxa"/>
        </w:tblCellMar>
      </w:tblPr>
      <w:tblGrid>
        <w:gridCol w:w="124"/>
        <w:gridCol w:w="256"/>
        <w:gridCol w:w="820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soquelitinib, ciforadenant and mupadolimab or our other product candidates;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2496" w:type="dxa"/>
        <w:jc w:val="left"/>
        <w:tblInd w:w="0" w:type="dxa"/>
        <w:tblLayout w:type="fixed"/>
        <w:tblCellMar>
          <w:top w:w="28" w:type="dxa"/>
          <w:left w:w="28" w:type="dxa"/>
          <w:bottom w:w="28" w:type="dxa"/>
          <w:right w:w="28" w:type="dxa"/>
        </w:tblCellMar>
      </w:tblPr>
      <w:tblGrid>
        <w:gridCol w:w="124"/>
        <w:gridCol w:w="256"/>
        <w:gridCol w:w="211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injury to our reputation;</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clinical trial participants;</w:t>
            </w:r>
          </w:p>
        </w:tc>
      </w:tr>
    </w:tbl>
    <w:tbl>
      <w:tblPr>
        <w:tblW w:w="3516" w:type="dxa"/>
        <w:jc w:val="left"/>
        <w:tblInd w:w="0" w:type="dxa"/>
        <w:tblLayout w:type="fixed"/>
        <w:tblCellMar>
          <w:top w:w="28" w:type="dxa"/>
          <w:left w:w="28" w:type="dxa"/>
          <w:bottom w:w="28" w:type="dxa"/>
          <w:right w:w="28" w:type="dxa"/>
        </w:tblCellMar>
      </w:tblPr>
      <w:tblGrid>
        <w:gridCol w:w="124"/>
        <w:gridCol w:w="256"/>
        <w:gridCol w:w="313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to defend the related litigation;</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diversion of management’s time and our resources;</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trial participants or patients;</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recalls, withdrawals or labeling, marketing or promotional restrictions;</w:t>
            </w:r>
          </w:p>
        </w:tc>
      </w:tr>
    </w:tbl>
    <w:tbl>
      <w:tblPr>
        <w:tblW w:w="1806" w:type="dxa"/>
        <w:jc w:val="left"/>
        <w:tblInd w:w="0" w:type="dxa"/>
        <w:tblLayout w:type="fixed"/>
        <w:tblCellMar>
          <w:top w:w="28" w:type="dxa"/>
          <w:left w:w="28" w:type="dxa"/>
          <w:bottom w:w="28" w:type="dxa"/>
          <w:right w:w="28" w:type="dxa"/>
        </w:tblCellMar>
      </w:tblPr>
      <w:tblGrid>
        <w:gridCol w:w="124"/>
        <w:gridCol w:w="256"/>
        <w:gridCol w:w="142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w:t>
            </w:r>
          </w:p>
        </w:tc>
      </w:tr>
    </w:tbl>
    <w:tbl>
      <w:tblPr>
        <w:tblW w:w="9621" w:type="dxa"/>
        <w:jc w:val="left"/>
        <w:tblInd w:w="0" w:type="dxa"/>
        <w:tblLayout w:type="fixed"/>
        <w:tblCellMar>
          <w:top w:w="28" w:type="dxa"/>
          <w:left w:w="28" w:type="dxa"/>
          <w:bottom w:w="28" w:type="dxa"/>
          <w:right w:w="28" w:type="dxa"/>
        </w:tblCellMar>
      </w:tblPr>
      <w:tblGrid>
        <w:gridCol w:w="124"/>
        <w:gridCol w:w="256"/>
        <w:gridCol w:w="924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commercialize soquelitinib, ciforadenant and mupadolimab or our other product candidates; and</w:t>
            </w:r>
          </w:p>
        </w:tc>
      </w:tr>
    </w:tbl>
    <w:tbl>
      <w:tblPr>
        <w:tblW w:w="2766" w:type="dxa"/>
        <w:jc w:val="left"/>
        <w:tblInd w:w="0" w:type="dxa"/>
        <w:tblLayout w:type="fixed"/>
        <w:tblCellMar>
          <w:top w:w="28" w:type="dxa"/>
          <w:left w:w="28" w:type="dxa"/>
          <w:bottom w:w="28" w:type="dxa"/>
          <w:right w:w="28" w:type="dxa"/>
        </w:tblCellMar>
      </w:tblPr>
      <w:tblGrid>
        <w:gridCol w:w="124"/>
        <w:gridCol w:w="256"/>
        <w:gridCol w:w="238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decline in our stock price.</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product liability insurance coverage in an amount and on terms and conditions that are customary for similarly situated companies and that are satisfactory to our board of directors. Our inability to retain sufficient product liability insurance at an acceptable cost to protect against potential product liability claims could prevent or inhibit the commercialization of soquelitinib, ciforadenant and mupadolimab or our other product candidates. Although we plan to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and any of our existing or potential future collaborators will be required to report to regulatory authorities if any products that may be approved in the future cause or contribute to adverse medical events, and any failure to do so would result in sanctions that would materially harm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and any of our existing or potential future collaborators are successful in commercializing our products, the FDA and foreign regulatory authorities would require that we and any of our existing or potential future collaborators report certain information about adverse medical events if those products may have caused or contributed to those adverse events. The timing of our obligation to report would be triggered by the date we become aware of the adverse event as well as the nature of the event. We and any of our existing or potential future collaborators or CROs may fail to report adverse events within the prescribed timeframe. If we or any of our existing or potential future collaborators or CROs fail to comply with such reporting obligations, the FDA or a foreign regulatory authority could take action, including criminal prosecution, the imposition of civil monetary penalties, seizure of our products or delay in approval or clearance of future products.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employees, independent contractors, principal investigators, CROs, consultants and vendors may engage in misconduct or other improper activities, including noncompliance with regulatory standards and requirements.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exposed to the risk that our employees, independent contractors, principal investigators, CROs, consultants and vendors may engage in misconduct or other illegal activity. Misconduct by these parties could include intentional, reckless and/or negligent conduct involving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fines and other sanctions.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Intellectual Property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rights to develop and commercialize our product candidates are subject in part to the terms and conditions of licenses granted to us by other companies. The patent protection, prosecution and enforcement for some of our product candidates may be dependent on third parties.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currently are heavily reliant upon licenses of certain patent rights and proprietary technology from third parties that is important or necessary to the development of our technology and products, including technology related to our product candidates. For example, we rely on our license agreement with Vernalis for rights with respect to the intellectual property covering ciforadenant. Further, we rely on our license agreement with The Scripps Research Institute for rights related to our lead development candidate for our anti-CD73 program, mupadolimab. These and other licenses we may enter into in the future may not provide adequate rights to use such intellectual property and technology in all relevant fields of use or in all territories in which we may wish to develop or commercialize our technology and products in the future. As a result, we may not be able to develop and commercialize our technology and products in fields of use and territories for which we are not granted rights pursuant to such licenses.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Licenses to additional third-party technology that may be required for our development programs may not be available in the future or may not be available on commercially reasonable terms, which could have a material adverse effect on our business and financial condition.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some circumstances, we may not have the right to control the preparation, filing, prosecution and enforcement of patent applications, or to maintain the patents, covering technology that we license from third parties. In addition, some of our agreements with our licensors require us to obtain consent from the licensor before we can enforce patent rights, and our licensor may withhold such consent or may not provide it on a timely basis. Therefore, we cannot be certain that our licensors or collaborators will prosecute, maintain, enforce and defend such intellectual property rights in a manner consistent with the best interests of our business, including by taking reasonable measures to protect the confidentiality of know-how and trade secrets, or by paying all applicable prosecution and maintenance fees related to intellectual property registrations for any of our product candidates. We also cannot be certain that our licensors have drafted or prosecuted the patents and patent applications licensed to us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success depends on our ability to protect our intellectual property and our proprietary technologies.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There can be no assurance that our patent applications or those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protect our rights or permit us to gain or keep any competitive advantage. This failure to properly protect the intellectual property rights relating to our product candidates could have a material adverse effect on our financial condition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While we have rights to issued composition-of-matter patents in the United States and corresponding issued patents in certain foreign territories covering soquelitinib, mupadolimab and ciforadenant, we cannot be certain that the claims in any of our patent applications covering composition-of-matter of our other product candidates will be considered patentable by the United States Patent and Trademark Office (“USPTO”), courts in the United States or by the patent offices and courts in foreign countries, nor can we be certain that the claims in our issued composition-of-matter patents will not be found invalid or unenforceable if challenged.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patent application process is subject to numerous risks and uncertainties, and there can be no assurance that we or any of our existing or potential future collaborators will be successful in protecting our product candidates by obtaining and defending patents. These risks and uncertainties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tc>
      </w:tr>
    </w:tbl>
    <w:tbl>
      <w:tblPr>
        <w:tblW w:w="5601" w:type="dxa"/>
        <w:jc w:val="left"/>
        <w:tblInd w:w="0" w:type="dxa"/>
        <w:tblLayout w:type="fixed"/>
        <w:tblCellMar>
          <w:top w:w="28" w:type="dxa"/>
          <w:left w:w="28" w:type="dxa"/>
          <w:bottom w:w="28" w:type="dxa"/>
          <w:right w:w="28" w:type="dxa"/>
        </w:tblCellMar>
      </w:tblPr>
      <w:tblGrid>
        <w:gridCol w:w="124"/>
        <w:gridCol w:w="256"/>
        <w:gridCol w:w="522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applications may not result in any patents being issued;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that may be issued or in-licensed may be challenged, invalidated, modified, revoked, circumvented, found to be unenforceable or otherwise may not provide any competitive advantage;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countries other than the United States may have patent laws less favorable to patentees than those upheld by U.S. courts, allowing foreign competitors a better opportunity to create, develop and market competing product candidates.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patent prosecution process is also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issuance of a patent is not conclusive as to its inventorship, scope, validity or enforceability, and our patents, if issued, or the patent rights that we license from others,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products, or limit the duration of the patent protection of our products and product candidates. Given the amount of time required for the development, testing and regulatory review of new product candidates, patents protecting such candidates might expire before or shortly after such candidates are commercialized. As a result, our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intellectual property may not provide us with sufficient rights to exclude others from commercializing products similar or identical to ours.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protect the confidentiality of our trade secrets, our business and competitive position would be harmed.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Despite these efforts,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commercial success depends in part on our avoiding infringement of the patents and proprietary rights of third parties. Other entities may have or obtain patents or proprietary rights that could limit our ability to make, use, sell, offer for sale or import our product candidates and future approved products or impair our competitive position. There is a substantial amount of litigation, both within and outside the United States, involving patent and other intellectual property rights in the biotechnology and pharmaceutical industries, including patent infringement lawsuits, interferences, oppositions, reexaminations, inter partes review (“IPR”) proceedings and post-grant review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As the biotechnology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 applications that, if issued as patents, may be infringed by commercialization of soquelitinib, ciforadenant and mupadolimab or our other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w:t>
      </w:r>
    </w:p>
    <w:tbl>
      <w:tblPr>
        <w:tblW w:w="2601" w:type="dxa"/>
        <w:jc w:val="left"/>
        <w:tblInd w:w="0" w:type="dxa"/>
        <w:tblLayout w:type="fixed"/>
        <w:tblCellMar>
          <w:top w:w="28" w:type="dxa"/>
          <w:left w:w="28" w:type="dxa"/>
          <w:bottom w:w="28" w:type="dxa"/>
          <w:right w:w="28" w:type="dxa"/>
        </w:tblCellMar>
      </w:tblPr>
      <w:tblGrid>
        <w:gridCol w:w="124"/>
        <w:gridCol w:w="256"/>
        <w:gridCol w:w="222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costly litigation;</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divert the time and attention of our technical personnel and management;</w:t>
            </w:r>
          </w:p>
        </w:tc>
      </w:tr>
    </w:tbl>
    <w:tbl>
      <w:tblPr>
        <w:tblW w:w="2721" w:type="dxa"/>
        <w:jc w:val="left"/>
        <w:tblInd w:w="0" w:type="dxa"/>
        <w:tblLayout w:type="fixed"/>
        <w:tblCellMar>
          <w:top w:w="28" w:type="dxa"/>
          <w:left w:w="28" w:type="dxa"/>
          <w:bottom w:w="28" w:type="dxa"/>
          <w:right w:w="28" w:type="dxa"/>
        </w:tblCellMar>
      </w:tblPr>
      <w:tblGrid>
        <w:gridCol w:w="124"/>
        <w:gridCol w:w="256"/>
        <w:gridCol w:w="234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development delays;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prevent us from commercializing soquelitinib, ciforadenant and mupadolimab or our other product candidates until the asserted patent expires or is held finally invalid or not infringed in a court of law;</w:t>
            </w:r>
          </w:p>
        </w:tc>
      </w:tr>
    </w:tbl>
    <w:tbl>
      <w:tblPr>
        <w:tblW w:w="8961" w:type="dxa"/>
        <w:jc w:val="left"/>
        <w:tblInd w:w="0" w:type="dxa"/>
        <w:tblLayout w:type="fixed"/>
        <w:tblCellMar>
          <w:top w:w="28" w:type="dxa"/>
          <w:left w:w="28" w:type="dxa"/>
          <w:bottom w:w="28" w:type="dxa"/>
          <w:right w:w="28" w:type="dxa"/>
        </w:tblCellMar>
      </w:tblPr>
      <w:tblGrid>
        <w:gridCol w:w="124"/>
        <w:gridCol w:w="256"/>
        <w:gridCol w:w="858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develop non-infringing technology, which may not be possible on a cost-effective basis;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enter into royalty or licensing agreements, which may not be available on commercially reasonable terms, or at all.</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Although no third party has asserted a claim of patent infringement against us as of the date of this Quarterly Report on Form 10-Q, others may hold proprietary rights that could prevent soquelitinib, ciforadenant and mupadolimab or our other product candidates from being marketed. Any patent-related legal action against us claiming damages and seeking to enjoin commercial activities relating to our product candidates or processes could subject us to potential liability for damages, including treble damages if we were determined to willfully infringe, and require us to obtain a license to manufacture or market soquelitinib, ciforadenant and mupadolimab or our other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or processes to avoid infringement, if necessary. Accordingly, an adverse determination in a judicial or administrative proceeding, or the failure to obtain necessary licenses, could prevent us from developing and commercializing soquelitinib, ciforadenant and mupadolimab or our other product candidates, which could harm our business, financial condition and results of operations. In addition, intellectual property litigation, regardless of its outcome, may cause negative publicity and could prohibit us from marketing or otherwise commercializing our product candidates and technology.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involved in lawsuits to protect or enforce our patents or the patents of our licensors, which could be expensive, time consuming, and unsuccessful. Further, our issued patents could be found invalid or unenforceable if challenged in court.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Competitors may infringe our intellectual property rights or those of our licensors.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existing or potential future collaborators were to initiate legal proceedings against a third party to enforce a patent directed at one of our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or non-enablement.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Recent patent reform legislation could increase the uncertainties and costs surrounding the prosecution of our patent applications and the enforcement or defense of our issued patents.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September 16, 2011, the Leahy-Smith America Invents Act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opposition, derivation, reexamination, inter-partes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successful in obtaining or maintaining necessary rights to our product candidates through acquisitions and in-licenses.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currently have rights to the intellectual property, through licenses from third parties and under patents that we own, to develop our product candidates. Because our programs may require the use of proprietary rights held by third parties, the growth of our business will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collaborated with U.S. academic institutions and may in the future collaborate with U.S. and foreign academic institutions to accelerate our preclinical research or development under written agreements with these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fail to comply with any of our obligations under existing agreements pursuant to which we license or have otherwise acquired intellectual property rights or technology, which could result in the loss of rights or technology that are material to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Licensing of intellectual property is of critical importance to our business and involves complex legal, business and scientific issues. We are party to various agreements that we depend on for rights to use various technologies that are material to our business, including intellectual property rights covering ciforadenant and methods relating to its use and manufacture. In each of these cases, our rights to use the licensed intellectual property are subject to the continuation of and our compliance with the terms of these agreements. Disputes may arise regarding our rights to intellectual property licensed to us from a third party, including but not limited to:</w:t>
      </w:r>
    </w:p>
    <w:tbl>
      <w:tblPr>
        <w:tblW w:w="8151" w:type="dxa"/>
        <w:jc w:val="left"/>
        <w:tblInd w:w="0" w:type="dxa"/>
        <w:tblLayout w:type="fixed"/>
        <w:tblCellMar>
          <w:top w:w="28" w:type="dxa"/>
          <w:left w:w="28" w:type="dxa"/>
          <w:bottom w:w="28" w:type="dxa"/>
          <w:right w:w="28" w:type="dxa"/>
        </w:tblCellMar>
      </w:tblPr>
      <w:tblGrid>
        <w:gridCol w:w="124"/>
        <w:gridCol w:w="256"/>
        <w:gridCol w:w="777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rights granted under the license agreement and other interpretation-related issues;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our technology and processes infringe on intellectual property of the licensor that is not subject to the licensing agreement;</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sublicensing of patent and other rights;</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diligence obligations under the license agreement and what activities satisfy those diligence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of inventions and know-how resulting from the creation or use of intellectual property by us, alone or with our licensors and collaborators;</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duration of our payment obligations;</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rights upon termination of such agreement; and</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duration of exclusivity obligations of each party to the agreement.</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 If we fail to comply with our obligations under current or future licensing agreements, these agreements may be terminated or the scope of our rights under them may be reduced and we might be unable to develop, manufacture or market any product that is licensed under these agreements.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which could adversely affect our business. Even if we are successful in defending against these claims, litigation could result in substantial costs and be a distraction to our management team.</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claims challenging the inventorship or ownership of our patents and other intellectual property.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also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do not obtain patent term extension for our product candidates, our business may be materially harmed.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Depending upon the timing, duration and specifics of potential FDA marketing approval of soquelitinib, ciforadenant, mupadolimab, or other product candidates, one or more of our U.S. patents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U.S. patent law could diminish the value of patents in general, thereby impairing our ability to protect our product candidates.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In addition, Congress may pass patent reform legislation that is unfavorable to us.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with respect to the value of patents, once obtained. Depending on decisions by Congress, the federal courts and the USPTO, the laws and regulations governing patents could change in unpredictable ways that would weaken our ability to obtain new patents or to enforce our existing patents and patents we might obtain in the future.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protect our intellectual property rights throughout the world.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While we have issued patents directed at soquelitinib, mupadolimab and ciforadenant in the United States and certain foreign territories, and pending patent applications directed at soquelitinib, ciforadenant, mupadolimab and other product candidates in other foreign countries, filing, prosecuting and defending patents on soquelitinib, ciforadenant, mupadolimab and our other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legal systems of many foreign countries do not favor the enforcement of patents and other intellectual property protection, which could make it difficult for us to stop the infringement of our patents or marketing of competing products in violation of our proprietary rights.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Intellectual property rights do not necessarily address all potential threats to our competitive advantage.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degree of future protection afforded by our intellectual property rights is uncertain because intellectual property rights have limitations, and may not adequately protect our business or permit us to maintain our competitive advantage. For example: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be able to make adenosine antagonists that are similar to our product candidates but that are not covered by the claims of the patents that we own or have exclusively licensed;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licensors or future collaborators might not have been the first to make the inventions covered by the issued patent or pending patent application that we own or have exclusively licensed;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licensors or future collaborators might not have been the first to file patent applications covering certain of our inventions;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independently develop similar or alternative technologies or duplicate any of our technologies without infringing our intellectual property rights;</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our pending patent applications will not lead to issued patents;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patents that we own or have exclusively licensed may be held invalid or unenforceable, as a result of legal challenges by our competitors;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tc>
      </w:tr>
    </w:tbl>
    <w:tbl>
      <w:tblPr>
        <w:tblW w:w="7041" w:type="dxa"/>
        <w:jc w:val="left"/>
        <w:tblInd w:w="0" w:type="dxa"/>
        <w:tblLayout w:type="fixed"/>
        <w:tblCellMar>
          <w:top w:w="28" w:type="dxa"/>
          <w:left w:w="28" w:type="dxa"/>
          <w:bottom w:w="28" w:type="dxa"/>
          <w:right w:w="28" w:type="dxa"/>
        </w:tblCellMar>
      </w:tblPr>
      <w:tblGrid>
        <w:gridCol w:w="124"/>
        <w:gridCol w:w="256"/>
        <w:gridCol w:w="666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develop additional proprietary technologies that are patentable; and</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patents of others may have an adverse effect on our business.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Should any of these events occur, they could significantly harm our business, results of operations and prospects.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Common Stock</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An active, liquid and orderly market for our common stock may not be sustained.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Although our common stock is listed on The Nasdaq Global Market (“Nasdaq”), an active trading market for our common stock may not be sustained on Nasdaq or any other exchange in the future. The lack of an active market may impair our stockholders’ ability to sell their shares at the time they wish to sell them or at a price that they consider reasonable. If an active market for our common stock is not sustained, it may also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 which, in turn, could materially adversely affect our business. In any event, we have a limited public float and, as a result, our common stock has been and will likely continue to be less liquid than many other listed companies and trading may be adversely affected.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The trading price of the shares of our common stock could be highly volatile, and investors in our common stock could incur substantial losses.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stock price has been volatile. The stock market in general and the market for stock of pharmaceutical companies in particular have experienced extreme volatility that has often been unrelated to the operating performance of particular companies. The market price for our common stock may be influenced by those factors discussed in this “Risk Factors” section and many others, including:</w:t>
      </w:r>
    </w:p>
    <w:tbl>
      <w:tblPr>
        <w:tblW w:w="5226" w:type="dxa"/>
        <w:jc w:val="left"/>
        <w:tblInd w:w="0" w:type="dxa"/>
        <w:tblLayout w:type="fixed"/>
        <w:tblCellMar>
          <w:top w:w="28" w:type="dxa"/>
          <w:left w:w="28" w:type="dxa"/>
          <w:bottom w:w="28" w:type="dxa"/>
          <w:right w:w="28" w:type="dxa"/>
        </w:tblCellMar>
      </w:tblPr>
      <w:tblGrid>
        <w:gridCol w:w="124"/>
        <w:gridCol w:w="256"/>
        <w:gridCol w:w="484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enroll subjects in our planned clinical trials;</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the clinical trials, and the results of trials of our competitors or those of other companies in our market sector;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approval of soquelitinib, ciforadenant, mupadolimab and our other product candidates, or limitations to specific label indications or patient populations for its use, or changes or delays in the regulatory review process;</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Angel Pharmaceuticals’ ability to develop and commercialize product candidates in China;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United States and foreign countries; including changes in the policies of the U.S. or Chinese governments resulting in sanctions instituted by either government;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structure of healthcare payment systems, especially in light of current reforms to the U.S. healthcare system;</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or failure of our efforts to acquire, license or develop additional product candidates;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5811" w:type="dxa"/>
        <w:jc w:val="left"/>
        <w:tblInd w:w="0" w:type="dxa"/>
        <w:tblLayout w:type="fixed"/>
        <w:tblCellMar>
          <w:top w:w="28" w:type="dxa"/>
          <w:left w:w="28" w:type="dxa"/>
          <w:bottom w:w="28" w:type="dxa"/>
          <w:right w:w="28" w:type="dxa"/>
        </w:tblCellMar>
      </w:tblPr>
      <w:tblGrid>
        <w:gridCol w:w="124"/>
        <w:gridCol w:w="256"/>
        <w:gridCol w:w="543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innovations or new products developed by us or our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acquisitions, strategic partnerships, joint ventures or capital commitments;</w:t>
            </w:r>
          </w:p>
        </w:tc>
      </w:tr>
    </w:tbl>
    <w:tbl>
      <w:tblPr>
        <w:tblW w:w="5226" w:type="dxa"/>
        <w:jc w:val="left"/>
        <w:tblInd w:w="0" w:type="dxa"/>
        <w:tblLayout w:type="fixed"/>
        <w:tblCellMar>
          <w:top w:w="28" w:type="dxa"/>
          <w:left w:w="28" w:type="dxa"/>
          <w:bottom w:w="28" w:type="dxa"/>
          <w:right w:w="28" w:type="dxa"/>
        </w:tblCellMar>
      </w:tblPr>
      <w:tblGrid>
        <w:gridCol w:w="124"/>
        <w:gridCol w:w="256"/>
        <w:gridCol w:w="484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supply or distribution delays or shortages;</w:t>
            </w:r>
          </w:p>
        </w:tc>
      </w:tr>
    </w:tbl>
    <w:tbl>
      <w:tblPr>
        <w:tblW w:w="9156" w:type="dxa"/>
        <w:jc w:val="left"/>
        <w:tblInd w:w="0" w:type="dxa"/>
        <w:tblLayout w:type="fixed"/>
        <w:tblCellMar>
          <w:top w:w="28" w:type="dxa"/>
          <w:left w:w="28" w:type="dxa"/>
          <w:bottom w:w="28" w:type="dxa"/>
          <w:right w:w="28" w:type="dxa"/>
        </w:tblCellMar>
      </w:tblPr>
      <w:tblGrid>
        <w:gridCol w:w="124"/>
        <w:gridCol w:w="256"/>
        <w:gridCol w:w="877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8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to our relationship with any manufacturers, suppliers, collaborators or other strategic partners;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achievement of product sales and profitability;</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financial results or those of companies that are perceived to be similar to us;</w:t>
            </w:r>
          </w:p>
        </w:tc>
      </w:tr>
    </w:tbl>
    <w:tbl>
      <w:tblPr>
        <w:tblW w:w="9546" w:type="dxa"/>
        <w:jc w:val="left"/>
        <w:tblInd w:w="0" w:type="dxa"/>
        <w:tblLayout w:type="fixed"/>
        <w:tblCellMar>
          <w:top w:w="28" w:type="dxa"/>
          <w:left w:w="28" w:type="dxa"/>
          <w:bottom w:w="28" w:type="dxa"/>
          <w:right w:w="28" w:type="dxa"/>
        </w:tblCellMar>
      </w:tblPr>
      <w:tblGrid>
        <w:gridCol w:w="124"/>
        <w:gridCol w:w="256"/>
        <w:gridCol w:w="916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in the pharmaceutical sector and issuance of securities analysts’ reports or recommendations;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political instability, natural disasters, war and/or events of terrorism, such as the military conflict between Ukraine and Russia, and the corresponding tensions created from such conflict between Russia, the United States and countries in Europe as well as other countries such as China, and conflicts and tensions in the Middle East and Venezuela;</w:t>
            </w:r>
          </w:p>
        </w:tc>
      </w:tr>
    </w:tbl>
    <w:tbl>
      <w:tblPr>
        <w:tblW w:w="3591" w:type="dxa"/>
        <w:jc w:val="left"/>
        <w:tblInd w:w="0" w:type="dxa"/>
        <w:tblLayout w:type="fixed"/>
        <w:tblCellMar>
          <w:top w:w="28" w:type="dxa"/>
          <w:left w:w="28" w:type="dxa"/>
          <w:bottom w:w="28" w:type="dxa"/>
          <w:right w:w="28" w:type="dxa"/>
        </w:tblCellMar>
      </w:tblPr>
      <w:tblGrid>
        <w:gridCol w:w="124"/>
        <w:gridCol w:w="256"/>
        <w:gridCol w:w="321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of our common stock;</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obtain additional funding on favorable terms, or at all;</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stock by insiders and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 other events or factors such as tariffs, trade controls, interest rates, inflationary pressures and the occurrence of a recession or even depression, many of which are beyond our control;</w:t>
            </w:r>
          </w:p>
        </w:tc>
      </w:tr>
    </w:tbl>
    <w:tbl>
      <w:tblPr>
        <w:tblW w:w="4191" w:type="dxa"/>
        <w:jc w:val="left"/>
        <w:tblInd w:w="0" w:type="dxa"/>
        <w:tblLayout w:type="fixed"/>
        <w:tblCellMar>
          <w:top w:w="28" w:type="dxa"/>
          <w:left w:w="28" w:type="dxa"/>
          <w:bottom w:w="28" w:type="dxa"/>
          <w:right w:w="28" w:type="dxa"/>
        </w:tblCellMar>
      </w:tblPr>
      <w:tblGrid>
        <w:gridCol w:w="124"/>
        <w:gridCol w:w="256"/>
        <w:gridCol w:w="381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 and</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product liability or other litigation against us.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a result of this volatility, investors may experience losses on their investment in our common stock.</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in the past, stockholders have initiated class action lawsuits against 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adhere to the listing requirements of the Nasdaq Global Market our common stock could be delisted.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are unable to comply with the listing requirements of the Nasdaq Global Market, our stock could be delisted for such failure. If our common stock is delisted from Nasdaq, we could be required to list on the over-the-counter (“OTC”) market, which may adversely affect the price and trading liquidity of our common stock. Delisting from the Nasdaq may have other negative results, including the potential loss of confidence in us by employees and partners, the loss of institutional investor interest, fewer business development opportunities and greater difficulty in obtaining financing on favorable terms or at all.</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principal stockholders and management own a significant percentage of our stock and will be able to exert significant control over matters subject to stockholder approval.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September 30, 2026, our executive officers, directors, holders of 5% or more of our capital stock based on publicly available filings made with the SEC and their respective affiliates beneficially owned approximately 26% of our outstanding common stock. Therefore, these stockholders have the ability to influence us through their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do not currently intend to pay dividends on our common stock, and, consequently, our stockholders’ ability to achieve a return on their investment will depend on appreciation, if any, in the price of our common stock.</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There is no guarantee that shares of our common stock will appreciate in value or even maintain the price at which stockholders have purchased their shares.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Sales of a substantial number of shares of our common stock by our existing stockholders in the public market could cause our stock price to fall.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certain holders of shares of our common stock have rights, subject to certain conditions, to require us to file registration statements covering their shares or to include their shares in registration statements that we may file for ourselves or other stockholders. We have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sz w:val="20"/>
        </w:rPr>
        <w:t>Beginning January 1, 2027, we will no longer qualify as</w:t>
      </w:r>
      <w:r>
        <w:rPr>
          <w:rFonts w:ascii="Times New Roman;Times;serif" w:hAnsi="Times New Roman;Times;serif"/>
          <w:sz w:val="20"/>
        </w:rPr>
        <w:t xml:space="preserve"> </w:t>
      </w:r>
      <w:r>
        <w:rPr>
          <w:rFonts w:ascii="Times New Roman;Times;serif" w:hAnsi="Times New Roman;Times;serif"/>
          <w:b/>
          <w:i/>
          <w:sz w:val="20"/>
        </w:rPr>
        <w:t>a smaller reporting company, which will increase our costs and demands on management, which will be further increased if and when we lose our status as a non-accelerated filer and become subject to auditor attestation requirements.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Based on the market value of our common stock held by our non-affiliates as of June 30, 2026, we will no longer be a smaller reporting company as of January 1, 2027, and thus will be subject to additional disclosure requirements beginning with our Quarterly Report on Form 10-Q for the quarter ended March 31, 2027. Due to this upcoming transition, we will need to implement and comply with the additional standards, rules and regulations that will apply to us upon losing our smaller reporting company status. Compliance with the additional requirements will also increase our legal, accounting and financial compliance costs.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a smaller reporting company, we have been allowed to take advantage of exemptions from various reporting requirements that are applicable to other public companies that are not smaller reporting companies, including reduced disclosure obligations regarding executive compensation in our Annual Report and our periodic reports and proxy statements and providing only two years of audited financial statements in our Annual Report and our periodic reports. In addition, our status as a non-accelerated filer has exempted us from the auditor attestation requirements of Section 404 of the Sarbanes Oxley Act of 2002, as amended (“Sarbanes Oxley”). If and when we are no longer a non-accelerated filer, which may occur as early as December 31, 2027, our independent registered public accounting firm would be required to attest to the effectiveness of our internal control over financial reporting beginning with our Annual Report on Form 10-K for that fiscal year. Auditor attestation would further increase our accounting and financial compliance costs.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maintain proper and effective internal control over financial reporting, our ability to produce accurate and timely consolidated financial statements could be impaired, investors may lose confidence in our financial reporting and the trading price of our common stock may decline.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Pursuant to Section 404 of Sarbanes-Oxley, if and when we become an accelerated or large accelerated filer, our independent registered public accounting firm will be required to attest to the effectiveness of our internal control over financial reporting. We will continue to be a non-accelerated filer as of December 31, 2026 and will remain a non-accelerated filer until December 31, 2027. Thereafter, our filer status will be determined as of the end of each fiscal year based on various factors, including whether we regain status as a smaller reporting company under certain conditions and are eligible to use the requirements for a smaller reporting company as of the end of such fiscal year.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rules governing the standards that must be met for management to assess our internal control over financial reporting are complex and require significant documentation, testing and possible remediation. To continue to comply with the requirements of being a reporting company under the Exchange Act, as we continue to grow, we will need to upgrade our systems including information technology;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cannot assure our stockholders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or our auditors, as part of their Section 404(b) attestation procedures, are unable to conclude that our internal control over financial reporting is effective, including as the result of a finding of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Provisions in our charter documents and under Delaware law could discourage a takeover that stockholders may consider favorable and may lead to entrenchment of management.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classified board of directors with three-year staggered terms, which may delay the ability of stockholders to change the membership of a majority of our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in the election of directors, which limits the ability of minority stockholders to elect director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approval of at least 66 2/3% of the shares entitled to vote to remove a director for cause, and the prohibition on removal of directors without cause;</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board of directors to alter our amended and restated bylaws without obtaining stockholder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approval of at least 66 2/3% of the shares entitled to vote to adopt, amend or repeal our amended and restated bylaws or repeal the provisions of our amended and restated certificate of incorporation regarding the election and removal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prohibition on stockholder action by written consent, which forces stockholder action to be taken at an annual or special meeting of our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exclusive forum provision providing that the Court of Chancery of the State of Delaware will be the exclusive forum for certain actions and proceedings;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a special meeting of stockholders may be called only by the board of directors, which may delay the ability of our stockholders to force consideration of a proposal or to take action, including the removal of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amended and restated certificate of incorporation and amended and restated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amended and restated certificate of incorporation and amended and restated bylaws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This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this provision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 This provision would not apply to suits brought to enforce a duty or liability created by the Exchange Act or any other claim for which the U.S. federal courts have exclusive jurisdiction.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General Risks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future growth may depend, in part, on our ability to operate in foreign markets, where we would be subject to additional regulatory burdens and other risks and uncertainties.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future growth may depend, in part, on our ability to develop and commercialize our product candidates in foreign markets. We are not permitted to market or promote any of our product candidates before we receive regulatory approval from applicable regulatory authorities in foreign markets, and we may never receive such regulatory approvals for any of our product candidates. To obtain separate regulatory approval in many other countries we must comply with numerous and varying regulatory requirements regarding safety and efficacy and governing, among other things, clinical trials, commercial sales, pricing and distribution of our product candidates. If we obtain regulatory approval of our product candidates and ultimately commercialize our product candidates in foreign markets, we would be subject to additional risks and uncertainties, including the burden of complying with complex and changing foreign regulatory, tax, accounting and legal requirements and the reduced protection of intellectual property rights in some foreign countries.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Changes to applicable U.S. or foreign tax laws and regulations may have a material adverse effect on our business, financial condition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evolving and complex tax laws in the United States and the foreign jurisdictions in which we operate. New income, sales, use or other tax laws, statutes, rules, regulations, or ordinances could be enacted at any time, or interpreted, changed, modified, or applied adversely to us, any of which could adversely affect our business operations and financial performance. We expect the scope and extent of regulation in the jurisdictions in which we conduct our business, or where our management is located, as well as regulatory oversight and supervision, to generally continue to increase. Generally, future changes in applicable U.S. or foreign tax laws and regulations, or their interpretation and application could have an adverse effect on our business, financial condition and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information technology systems, or those of any of our existing or potential future collaborators, CROs or other contractors or consultants, may fail or suffer security breaches, which could result in a material disruption of our product development programs.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maintain sensitive company data on our information technology systems, including our intellectual property, proprietary business information, clinical trial data, and personal information (collectively, “Confidential Information”) of customers and our employees and contractors. We face a number of threats to our networks from unauthorized access, security breaches and other system disruptions. Despite the implementation of security measures, our information technology and other internal computer systems and those of our current and any future CROs and other contractors, consultants and collaborators are vulnerable to damage from cyberattacks, “phishing” attacks, computer viruses and malware (e.g., ransomware), malicious code, misconfigurations, “bugs” or other vulnerabilities, unauthorized access, natural disasters, terrorism, war and telecommunication and electrical failures, including from diverse threat actors, such as state-sponsored organizations, opportunistic hackers and hacktivists.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 including artificial intelligence – that are designed to circumvent controls, to avoid detection, and to remove or obfuscate forensic evidence. As a result of the continued hybrid working environment, we may also face increased cybersecurity risks due to our reliance on internet technology and the number of our and our service providers’ employees who are working remotely, which may create additional opportunities for cybercriminals to exploit vulnerabilities. There can also be no assurance that our and our current and future CROs’ and other contractors’, consultants’ and collaborators’ cybersecurity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risk management program and processes, including policies, controls or procedures, will be fully implemented, complied with or effective in protecting our systems, networks and Confidential Information.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and certain of our service providers are from time to time, subject to cyberattacks and security incidents. While we do not believe that we have experienced any significant system failure, accident or security breach to date, any such security breach may compromise Confidential Information stored on our networks, or those of our vendors, and may result in significant data losses or theft of our Confidential Information. Further, if such an event were to occur and cause interruptions in our operations, it could result in a material disruption of our development programs and our business operations, whether due to a loss of our trade secrets or other similar disruptions. For example, the loss of clinical trial data from completed or future clinical trials could result in delays in our regulatory approval efforts and significantly increase our costs to recover or reproduce the data. In addition, such a breach may require notification to governmental agencies, or affected individuals pursuant to applicable data privacy and security laws. We would also be exposed to a risk of loss, including financial assets or litigation and potential liability, which could materially adversely affect our business, reputation, financial condition, results of operations and prospects.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Information, we could incur liability and the further development and commercialization of our product candidates could be delayed or otherwise harmed.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customers, and/or significant incident response, system restoration or remediation and future compliance costs. 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and failures to comply with U.S. and foreign privacy and data protection laws, regulations and standards may adversely affect our business, operations and financial performance.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subject to or affected by numerous federal, state and foreign laws and regulations, as well as regulatory guidance, governing the collection, use, disclosure, retention, and security of personal data, such as information that we collect about patients and healthcare providers in connection with clinical trials in the United States and abroad. The global data protection landscape is rapidly evolving, and implementation standards and enforcement practices are likely to remain uncertain for the foreseeable future. This evolution may create uncertainty in our business, affect our or our collaborators’, service providers’ and contractors’ ability to operate in certain jurisdictions or to collect, store, transfer use and share personal information, necessitate the acceptance of more onerous obligations in our contracts, result in liability or impose additional costs on us.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United States, HIPAA imposes, among other things, certain standards relating to the privacy, security, transmission and breach reporting of individually identifiable health information. Certain states have also adopted comparable privacy and security laws and regulations, which govern the privacy, processing and protection of health-related and other personal information. Depending on the facts and circumstances, we could be subject to criminal penalties if we knowingly obtain, use, or disclose individually identifiable health information that was provided to us by a HIPAA-covered entity in a manner that is not authorized or permitted by HIPAA.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 the California Consumer Privacy Act, as amended by the California Privacy Rights Act (collectively, the “CCPA”) requires covered businesses that process the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 out of certain disclosures of their personal information; and enter into specific contractual provisions with service providers that process California resident personal information on the business’s behalf. Similar laws have been proposed in other states and are continuing to be proposed at the state and federal level, and if passed, such laws may have potentially conflicting requirements that would make compliance challenging.</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operations abroad may also be subject to increased scrutiny or attention from data protection authorities. Many countries in these regions have established or are in the process of establishing privacy and data security legal frameworks with which we, our collaborators, service providers, including our CRO, and contractors must comply. For example, the General Data Protection Regulation (the “GDPR”), which went into effect in May 2018, imposes strict requirements for processing the personal data of individuals within the EEA, including clinical trial data. The GDPR has and will continue to increase compliance burdens on us, including by mandating potentially burdensome documentation requirements and granting certain rights to individuals to control how we collect, use, disclose, retain and process information about them. The processing of sensitive personal data, such as physical health condition, may impose heightened compliance burdens under the GDPR and is a topic of active interest among foreign regulators. The GDPR provides for robust regulatory enforcement and fines of up to €20 million or 4% of the annual global revenue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Additionally, the U.S. Department of Justice recently issued a final rule that went into effect in April 2025, known as the “Data Security Program” (the “DSP Rule”). The DSP Rule places restrictions, and in some cases prohibitions, on certain transactions that could grant access of sensitive personal data to certain foreign actors with connections to “countries of concern”, such as China, which the DSP Rule refers to as “covered persons,” and may create operational challenges and legal risks for our business. As regulators issue further guidance on personal data export mechanisms and/or start taking enforcement action, we could suffer additional costs, complaints and/or regulatory investigations or fines.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 from January 1, 2021, we had to comply with the GDPR and the United Kingdom (“UK”) GDPR, which, together with the amended UK Data Protection Act 2018, retains the GDPR in UK national law, the latter regime having the ability to separately fine up to the greater of £17.5 million or 4% of global turnover. On October 12, 2023, the UK Extension to the DPF came into effect (as approved by the UK Government), as a data transfer mechanism from the UK to U.S. entities self-certified under the DPF.</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we expand into other foreign countries and jurisdictions, we may be subject to additional laws and regulations that may affect how we conduct business. The cost of compliance with these laws, regulations and standards is high and is likely to increase in the future. Any failure or perceived failure by us or our collaborators, service providers and contractors to comply with federal, state or foreign laws or regulation, our internal policies and procedures or our contracts governing processing of personal information could result in negative publicity, diversion of management time and effort and proceedings against us by governmental entities or others. In many jurisdictions, enforcement actions and consequences for noncompliance are rising.</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operations could be subject to earthquakes, power shortages, telecommunications failures, water shortages, floods, hurricanes, typhoons, fires, extreme weather conditions, medical epidemics and pandemics, and other natural or manmade disasters or business interruptions, for which we are predominantly self-insured.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corporate headquarters and laboratory are located in the San Francisco Bay Area. This location has in the past experienced severe earthquakes and other natural disasters. Earthquakes, extreme weather conditions, or other natural disasters, power-shortages, telecommunications failures, fires, medical epidemics and pandemics, and other natural or manmade disasters could severely disrupt our operations or those of our collaboration partners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could have a material adverse effect on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any of our suppliers of the drug substance we use for the development of our product candidates are unable to provide such drug substance, our business could be disrupted and seriously harmed.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currently rely on several different manufacturers who supply different parts of the ciforadenant molecule and soquelitinib molecule, on one manufacturer for mupadolimab drug substance and on other third-party manufacturers to produce our other product candidates. Our ability to obtain clinical supplies of soquelitinib, ciforadenant and mupadolimab or our other product candidates could be disrupted if the operations of these suppliers were affected by a man-made or natural disaster or other business interruption. The occurrence of any of these business disruptions could seriously harm our operations and financial condition and increase our costs and expenses</w:t>
      </w:r>
      <w:r>
        <w:rPr>
          <w:rFonts w:ascii="Times New Roman;Times;serif" w:hAnsi="Times New Roman;Times;serif"/>
          <w:sz w:val="24"/>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use net operating loss carryforwards and other tax attributes may be limited.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incurred substantial losses during our history and do not expect to become profitable in the near future, and we may never achieve profitability. Generally, to the extent that we continue to generate taxable losses, unused losses will carry forward to offset future taxable income, if any, until such unused losses expire. As of December 31, 2025, we had federal net operating loss (“NOL”) carryforwards of approximately $285.9 million and state NOL carryforwards of approximately $353.7 million available to offset future taxable income. If not utilized, certain of our federal and state NOL carryforwards will begin to expire in various years beginning in 2035. As of December 31, 2025, we also had $11.1 million of federal research and development tax credit, $1.5 million of federal orphan drug credit, and $5.8 million of state research and development tax credit carryforwards available to offset future income taxes. The federal research and development tax credits will begin to expire in 2036, if not utilized. The state research and development tax credits have no expiration date. Utilization of NOL carryforwards and credits may be subject to an annual limitation due to the “ownership change” provisions under Sections 382 and 383 of the Internal Revenue Code of 1986, as amended (the “Code”). An “ownership change” is generally defined as a cumulative change in stock ownership of certain significant stockholders over a rolling three year period in excess of 50 percentage points by value. Similar provisions under state tax law may also apply. We may have experienced ownership changes in the past, and we may experience ownership changes in the future as a result of subsequent shifts in our stock ownership, some of which may be outside our control. Such ownership changes could result in the expiration of certain of our NOL carryforwards and other tax attributes before they can be utilized. As a result, even if we attain profitability, we may be unable to use a material portion of our NOL carryforwards and other tax attributes to offset future taxable income.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Additionally, under the Tax Act, as modified by the Coronavirus Aid, Relief, and Economic Security Act (the “CARES Act”), NOL carryforwards arising in tax years beginning after December 31, 2020 are limited to 80% of taxable income. Under the Tax Act, federal NOL carryforwards arising in tax years beginning after December 31, 2017 may be carried forward indefinitely. Under the CARES Act, federal NOL carryforwards arising in tax years beginning after December 31, 2017 and before January 1, 2021 may be carried back to each of the five tax years preceding the tax year of such loss. The changes in the carryforward and carryback periods as well as the limitation on use of NOL carryforwards may significantly impact our ability to use NOL carryforwards, particularly for tax years beginning after December 31, 2020, as well as the timing of any such use, and could adversely affect our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securities or industry analysts do not publish research or reports or publish unfavorable research or reports about our business, our stock price and trading volume could decline.</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results of operations fail to meet the expectations of analysts, our stock price would likely decline. If one or more of these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analysts cease coverage of us or fail to publish reports on us regularly, we could lose visibility in the financial markets, which in turn could cause our stock price or trading volume to decline.</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0"/>
        </w:rPr>
      </w:pPr>
      <w:bookmarkStart w:id="1336" w:name="Item2UnregisteredSalesofEquitySecurities"/>
      <w:bookmarkStart w:id="1337" w:name="_0a66a95b_3a6c_489d_ade2_62e609a97f41"/>
      <w:bookmarkEnd w:id="1336"/>
      <w:bookmarkEnd w:id="1337"/>
      <w:r>
        <w:rPr>
          <w:rFonts w:ascii="Times New Roman;Times;serif" w:hAnsi="Times New Roman;Times;serif"/>
          <w:b/>
          <w:sz w:val="20"/>
        </w:rPr>
        <w:t>Item 2.</w:t>
      </w:r>
      <w:r>
        <w:rPr>
          <w:rFonts w:ascii="Times New Roman;Times;serif" w:hAnsi="Times New Roman;Times;serif"/>
          <w:sz w:val="20"/>
        </w:rPr>
        <w:t>   </w:t>
      </w:r>
      <w:r>
        <w:rPr>
          <w:rFonts w:ascii="Times New Roman;Times;serif" w:hAnsi="Times New Roman;Times;serif"/>
          <w:b/>
          <w:sz w:val="20"/>
        </w:rPr>
        <w:t>Unregistered Sales of Equity Securities and Use of Proceeds</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Recent Sales of Unregistered Securities</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Use of Proceeds from Registered Securities</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Repurchases of Shares or of Company Equity Securities</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0"/>
        </w:rPr>
      </w:pPr>
      <w:bookmarkStart w:id="1338" w:name="Item3DefaultsUponSeniorSecurities_526790"/>
      <w:bookmarkStart w:id="1339" w:name="_25a960d5_bfba_41ee_8086_8363355f90d8"/>
      <w:bookmarkEnd w:id="1338"/>
      <w:bookmarkEnd w:id="1339"/>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3.</w:t>
      </w:r>
      <w:r>
        <w:rPr>
          <w:rFonts w:ascii="Times New Roman;Times;serif" w:hAnsi="Times New Roman;Times;serif"/>
          <w:sz w:val="20"/>
        </w:rPr>
        <w:t>   </w:t>
      </w:r>
      <w:r>
        <w:rPr>
          <w:rFonts w:ascii="Times New Roman;Times;serif" w:hAnsi="Times New Roman;Times;serif"/>
          <w:b/>
          <w:sz w:val="20"/>
        </w:rPr>
        <w:t>Defaults Upon Senior Securities</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0"/>
        </w:rPr>
      </w:pPr>
      <w:bookmarkStart w:id="1340" w:name="Item4MineSafetyDisclosures_600075"/>
      <w:bookmarkStart w:id="1341" w:name="_98d54856_8c2e_4729_8120_def263fbad59"/>
      <w:bookmarkEnd w:id="1340"/>
      <w:bookmarkEnd w:id="1341"/>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4.</w:t>
      </w:r>
      <w:r>
        <w:rPr>
          <w:rFonts w:ascii="Times New Roman;Times;serif" w:hAnsi="Times New Roman;Times;serif"/>
          <w:sz w:val="20"/>
        </w:rPr>
        <w:t>   </w:t>
      </w:r>
      <w:r>
        <w:rPr>
          <w:rFonts w:ascii="Times New Roman;Times;serif" w:hAnsi="Times New Roman;Times;serif"/>
          <w:b/>
          <w:sz w:val="20"/>
        </w:rPr>
        <w:t>Mine Safety Disclosures</w:t>
      </w:r>
    </w:p>
    <w:p>
      <w:pPr>
        <w:pStyle w:val="TextBody"/>
        <w:bidi w:val="0"/>
        <w:spacing w:lineRule="auto" w:line="285" w:before="0" w:after="0"/>
        <w:ind w:left="0" w:right="0" w:hanging="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0"/>
        </w:rPr>
      </w:pPr>
      <w:bookmarkStart w:id="1342" w:name="Item5OtherInformation_876990"/>
      <w:bookmarkStart w:id="1343" w:name="_7475031e_56ae_4d44_aca6_fc43ec6e344b"/>
      <w:bookmarkEnd w:id="1342"/>
      <w:bookmarkEnd w:id="1343"/>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5.</w:t>
      </w:r>
      <w:r>
        <w:rPr>
          <w:rFonts w:ascii="Times New Roman;Times;serif" w:hAnsi="Times New Roman;Times;serif"/>
          <w:sz w:val="20"/>
        </w:rPr>
        <w:t>   </w:t>
      </w:r>
      <w:r>
        <w:rPr>
          <w:rFonts w:ascii="Times New Roman;Times;serif" w:hAnsi="Times New Roman;Times;serif"/>
          <w:b/>
          <w:sz w:val="20"/>
        </w:rPr>
        <w:t>Other Information</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Rule 10b5-1 Trading Arrangements</w:t>
      </w:r>
    </w:p>
    <w:p>
      <w:pPr>
        <w:pStyle w:val="TextBody"/>
        <w:bidi w:val="0"/>
        <w:spacing w:lineRule="auto" w:line="285" w:before="0" w:after="0"/>
        <w:ind w:left="0" w:right="0" w:firstLine="720"/>
        <w:jc w:val="left"/>
      </w:pPr>
      <w: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During the quarter ended September 30, 2026, none of our directors or officers (as defined in Rule 16a-1(f) under the Exchange Act) adopted, modified or terminated a “Rule 10b5-1 trading arrangement” or a “non-Rule 10b5-1 trading arrangement”, as each term is defined in Item 408(a) of Regulation S-K.</w:t>
      </w:r>
    </w:p>
    <w:p>
      <w:pPr>
        <w:pStyle w:val="TextBody"/>
        <w:bidi w:val="0"/>
        <w:spacing w:lineRule="auto" w:line="285" w:before="0" w:after="0"/>
        <w:ind w:left="0" w:right="0" w:hanging="0"/>
        <w:jc w:val="left"/>
      </w:pPr>
      <w: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bookmarkStart w:id="1344" w:name="Item6Exhibits_350365"/>
      <w:bookmarkStart w:id="1345" w:name="_224e017b_fd73_484e_92c0_79d03f5f5401"/>
      <w:bookmarkEnd w:id="1344"/>
      <w:bookmarkEnd w:id="1345"/>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6.</w:t>
      </w:r>
      <w:r>
        <w:rPr>
          <w:rFonts w:ascii="Times New Roman;Times;serif" w:hAnsi="Times New Roman;Times;serif"/>
          <w:sz w:val="20"/>
        </w:rPr>
        <w:t>   </w:t>
      </w:r>
      <w:r>
        <w:rPr>
          <w:rFonts w:ascii="Times New Roman;Times;serif" w:hAnsi="Times New Roman;Times;serif"/>
          <w:b/>
          <w:sz w:val="20"/>
        </w:rPr>
        <w:t>Exhibits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lineRule="auto" w:line="285"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756"/>
        <w:gridCol w:w="226"/>
        <w:gridCol w:w="5630"/>
        <w:gridCol w:w="226"/>
        <w:gridCol w:w="511"/>
        <w:gridCol w:w="226"/>
        <w:gridCol w:w="659"/>
        <w:gridCol w:w="226"/>
        <w:gridCol w:w="691"/>
        <w:gridCol w:w="226"/>
        <w:gridCol w:w="828"/>
      </w:tblGrid>
      <w:tr>
        <w:tc>
          <w:tcPr>
            <w:tcW w:w="756"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lineRule="auto" w:line="285" w:before="0" w:after="0"/>
              <w:ind w:left="0" w:right="0" w:hanging="0"/>
              <w:jc w:val="left"/>
            </w:pPr>
            <w:r>
              <w:t>​</w:t>
            </w:r>
          </w:p>
        </w:tc>
        <w:tc>
          <w:tcPr>
            <w:tcW w:w="659"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lineRule="auto" w:line="285" w:before="0" w:after="0"/>
              <w:ind w:left="0" w:right="0" w:hanging="0"/>
              <w:jc w:val="left"/>
            </w:pPr>
            <w:r>
              <w:t>​</w:t>
            </w:r>
          </w:p>
        </w:tc>
        <w:tc>
          <w:tcPr>
            <w:tcW w:w="691"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lineRule="auto" w:line="285" w:before="0" w:after="0"/>
              <w:ind w:left="0" w:right="0" w:hanging="0"/>
              <w:jc w:val="left"/>
            </w:pPr>
            <w:r>
              <w:t>​</w:t>
            </w:r>
          </w:p>
        </w:tc>
        <w:tc>
          <w:tcPr>
            <w:tcW w:w="828" w:type="dxa"/>
            <w:tcBorders/>
            <w:vAlign w:val="center"/>
          </w:tcPr>
          <w:p>
            <w:pPr>
              <w:pStyle w:val="TableContents"/>
              <w:bidi w:val="0"/>
              <w:spacing w:before="0" w:after="283"/>
              <w:ind w:left="0" w:right="0" w:hanging="0"/>
              <w:jc w:val="left"/>
              <w:rPr>
                <w:sz w:val="4"/>
                <w:szCs w:val="4"/>
              </w:rPr>
            </w:pPr>
            <w:r>
              <w:rPr>
                <w:sz w:val="4"/>
                <w:szCs w:val="4"/>
              </w:rPr>
            </w:r>
          </w:p>
        </w:tc>
      </w:tr>
      <w:tr>
        <w:tc>
          <w:tcPr>
            <w:tcW w:w="756" w:type="dxa"/>
            <w:tcBorders/>
            <w:vAlign w:val="center"/>
          </w:tcPr>
          <w:p>
            <w:pPr>
              <w:pStyle w:val="TableContents"/>
              <w:pBdr/>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Exhibit</w:t>
            </w:r>
          </w:p>
        </w:tc>
        <w:tc>
          <w:tcPr>
            <w:tcW w:w="226" w:type="dxa"/>
            <w:tcBorders/>
            <w:vAlign w:val="center"/>
          </w:tcPr>
          <w:p>
            <w:pPr>
              <w:pStyle w:val="TableContents"/>
              <w:bidi w:val="0"/>
              <w:spacing w:lineRule="auto" w:line="285" w:before="0" w:after="0"/>
              <w:ind w:left="0" w:right="0" w:hanging="0"/>
              <w:jc w:val="center"/>
            </w:pPr>
            <w:r>
              <w:t>​</w:t>
            </w:r>
          </w:p>
        </w:tc>
        <w:tc>
          <w:tcPr>
            <w:tcW w:w="5630"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231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z w:val="16"/>
              </w:rPr>
              <w:t>Filed</w:t>
            </w:r>
          </w:p>
        </w:tc>
      </w:tr>
      <w:tr>
        <w:tc>
          <w:tcPr>
            <w:tcW w:w="756" w:type="dxa"/>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Number</w:t>
            </w:r>
          </w:p>
        </w:tc>
        <w:tc>
          <w:tcPr>
            <w:tcW w:w="226" w:type="dxa"/>
            <w:tcBorders/>
            <w:vAlign w:val="center"/>
          </w:tcPr>
          <w:p>
            <w:pPr>
              <w:pStyle w:val="TableContents"/>
              <w:bidi w:val="0"/>
              <w:spacing w:lineRule="auto" w:line="285" w:before="0" w:after="0"/>
              <w:ind w:left="0" w:right="0" w:hanging="0"/>
              <w:jc w:val="left"/>
            </w:pPr>
            <w:r>
              <w:t>  ​</w:t>
            </w:r>
          </w:p>
        </w:tc>
        <w:tc>
          <w:tcPr>
            <w:tcW w:w="563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226" w:type="dxa"/>
            <w:tcBorders/>
            <w:vAlign w:val="center"/>
          </w:tcPr>
          <w:p>
            <w:pPr>
              <w:pStyle w:val="TableContents"/>
              <w:bidi w:val="0"/>
              <w:spacing w:lineRule="auto" w:line="285" w:before="0" w:after="0"/>
              <w:ind w:left="0" w:right="0" w:hanging="0"/>
              <w:jc w:val="center"/>
            </w:pPr>
            <w:r>
              <w:t>  ​</w:t>
            </w:r>
          </w:p>
        </w:tc>
        <w:tc>
          <w:tcPr>
            <w:tcW w:w="5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226" w:type="dxa"/>
            <w:tcBorders/>
            <w:vAlign w:val="center"/>
          </w:tcPr>
          <w:p>
            <w:pPr>
              <w:pStyle w:val="TableContents"/>
              <w:bidi w:val="0"/>
              <w:spacing w:lineRule="auto" w:line="285" w:before="0" w:after="0"/>
              <w:ind w:left="0" w:right="0" w:hanging="0"/>
              <w:jc w:val="center"/>
            </w:pPr>
            <w:r>
              <w:t>  ​</w:t>
            </w:r>
          </w:p>
        </w:tc>
        <w:tc>
          <w:tcPr>
            <w:tcW w:w="65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226" w:type="dxa"/>
            <w:tcBorders/>
            <w:vAlign w:val="center"/>
          </w:tcPr>
          <w:p>
            <w:pPr>
              <w:pStyle w:val="TableContents"/>
              <w:bidi w:val="0"/>
              <w:spacing w:lineRule="auto" w:line="285" w:before="0" w:after="0"/>
              <w:ind w:left="0" w:right="0" w:hanging="0"/>
              <w:jc w:val="center"/>
            </w:pPr>
            <w:r>
              <w:t>  ​</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226" w:type="dxa"/>
            <w:tcBorders/>
            <w:vAlign w:val="center"/>
          </w:tcPr>
          <w:p>
            <w:pPr>
              <w:pStyle w:val="TableContents"/>
              <w:bidi w:val="0"/>
              <w:spacing w:lineRule="auto" w:line="285" w:before="0" w:after="0"/>
              <w:ind w:left="0" w:right="0" w:hanging="0"/>
              <w:jc w:val="center"/>
            </w:pPr>
            <w:r>
              <w:t>  ​</w:t>
            </w:r>
          </w:p>
        </w:tc>
        <w:tc>
          <w:tcPr>
            <w:tcW w:w="82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Herewith</w:t>
            </w:r>
          </w:p>
        </w:tc>
      </w:tr>
      <w:tr>
        <w:tc>
          <w:tcPr>
            <w:tcW w:w="756" w:type="dxa"/>
            <w:tcBorders/>
            <w:vAlign w:val="center"/>
          </w:tcPr>
          <w:p>
            <w:pPr>
              <w:pStyle w:val="TableContents"/>
              <w:pBdr/>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659"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691"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828" w:type="dxa"/>
            <w:tcBorders/>
            <w:vAlign w:val="center"/>
          </w:tcPr>
          <w:p>
            <w:pPr>
              <w:pStyle w:val="TableContents"/>
              <w:bidi w:val="0"/>
              <w:spacing w:lineRule="auto" w:line="285" w:before="0" w:after="0"/>
              <w:ind w:left="0" w:right="0" w:hanging="0"/>
              <w:jc w:val="left"/>
            </w:pPr>
            <w:r>
              <w:t>​</w:t>
            </w:r>
          </w:p>
        </w:tc>
      </w:tr>
      <w:tr>
        <w:tc>
          <w:tcPr>
            <w:tcW w:w="75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pPr>
            <w:hyperlink r:id="rId8">
              <w:r>
                <w:rPr>
                  <w:rStyle w:val="InternetLink"/>
                  <w:rFonts w:ascii="Times New Roman;Times;serif" w:hAnsi="Times New Roman;Times;serif"/>
                  <w:b w:val="false"/>
                  <w:i w:val="false"/>
                  <w:caps w:val="false"/>
                  <w:smallCaps w:val="false"/>
                  <w:sz w:val="20"/>
                </w:rPr>
                <w:t>Amended and Restated Certificate of Incorporation.</w:t>
              </w:r>
            </w:hyperlink>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3/29/2016</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pPr>
            <w:r>
              <w:t>​</w:t>
            </w:r>
          </w:p>
        </w:tc>
      </w:tr>
      <w:tr>
        <w:tc>
          <w:tcPr>
            <w:tcW w:w="756" w:type="dxa"/>
            <w:tcBorders/>
            <w:vAlign w:val="center"/>
          </w:tcPr>
          <w:p>
            <w:pPr>
              <w:pStyle w:val="TableContents"/>
              <w:pBdr/>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pPr>
            <w:r>
              <w:t>​</w:t>
            </w:r>
          </w:p>
        </w:tc>
      </w:tr>
      <w:tr>
        <w:tc>
          <w:tcPr>
            <w:tcW w:w="75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pPr>
            <w:hyperlink r:id="rId9">
              <w:r>
                <w:rPr>
                  <w:rStyle w:val="InternetLink"/>
                  <w:rFonts w:ascii="Times New Roman;Times;serif" w:hAnsi="Times New Roman;Times;serif"/>
                  <w:b w:val="false"/>
                  <w:i w:val="false"/>
                  <w:caps w:val="false"/>
                  <w:smallCaps w:val="false"/>
                  <w:sz w:val="20"/>
                </w:rPr>
                <w:t>Amended and Restated Bylaws.</w:t>
              </w:r>
            </w:hyperlink>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3/29/2016</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pPr>
            <w:r>
              <w:t>​</w:t>
            </w:r>
          </w:p>
        </w:tc>
      </w:tr>
      <w:tr>
        <w:tc>
          <w:tcPr>
            <w:tcW w:w="756" w:type="dxa"/>
            <w:tcBorders/>
            <w:vAlign w:val="center"/>
          </w:tcPr>
          <w:p>
            <w:pPr>
              <w:pStyle w:val="TableContents"/>
              <w:pBdr/>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pPr>
            <w:r>
              <w:t>​</w:t>
            </w:r>
          </w:p>
        </w:tc>
      </w:tr>
      <w:tr>
        <w:tc>
          <w:tcPr>
            <w:tcW w:w="75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pPr>
            <w:hyperlink w:anchor="crvs-ex31d1.htm">
              <w:r>
                <w:rPr>
                  <w:rStyle w:val="InternetLink"/>
                  <w:rFonts w:ascii="Times New Roman;Times;serif" w:hAnsi="Times New Roman;Times;serif"/>
                  <w:b w:val="false"/>
                  <w:i w:val="false"/>
                  <w:caps w:val="false"/>
                  <w:smallCaps w:val="false"/>
                  <w:sz w:val="20"/>
                </w:rPr>
                <w:t>Certification of Chief Executive Officer required by Rule 13a-14(a) or Rule 15d-14(a).</w:t>
              </w:r>
            </w:hyperlink>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c>
          <w:tcPr>
            <w:tcW w:w="756" w:type="dxa"/>
            <w:tcBorders/>
            <w:vAlign w:val="center"/>
          </w:tcPr>
          <w:p>
            <w:pPr>
              <w:pStyle w:val="TableContents"/>
              <w:pBdr/>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pPr>
            <w:r>
              <w:t>​</w:t>
            </w:r>
          </w:p>
        </w:tc>
      </w:tr>
      <w:tr>
        <w:tc>
          <w:tcPr>
            <w:tcW w:w="75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pPr>
            <w:hyperlink w:anchor="crvs-ex31d2.htm">
              <w:r>
                <w:rPr>
                  <w:rStyle w:val="InternetLink"/>
                  <w:rFonts w:ascii="Times New Roman;Times;serif" w:hAnsi="Times New Roman;Times;serif"/>
                  <w:b w:val="false"/>
                  <w:i w:val="false"/>
                  <w:caps w:val="false"/>
                  <w:smallCaps w:val="false"/>
                  <w:sz w:val="20"/>
                </w:rPr>
                <w:t>Certification of Chief Financial Officer required by Rule 13a-14(a) or Rule 15d-14(a).</w:t>
              </w:r>
            </w:hyperlink>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c>
          <w:tcPr>
            <w:tcW w:w="756" w:type="dxa"/>
            <w:tcBorders/>
            <w:vAlign w:val="center"/>
          </w:tcPr>
          <w:p>
            <w:pPr>
              <w:pStyle w:val="TableContents"/>
              <w:pBdr/>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pPr>
            <w:r>
              <w:t>​</w:t>
            </w:r>
          </w:p>
        </w:tc>
      </w:tr>
      <w:tr>
        <w:tc>
          <w:tcPr>
            <w:tcW w:w="75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pPr>
            <w:hyperlink w:anchor="crvs-ex32d1.htm">
              <w:r>
                <w:rPr>
                  <w:rStyle w:val="InternetLink"/>
                  <w:rFonts w:ascii="Times New Roman;Times;serif" w:hAnsi="Times New Roman;Times;serif"/>
                  <w:b w:val="false"/>
                  <w:i w:val="false"/>
                  <w:caps w:val="false"/>
                  <w:smallCaps w:val="false"/>
                  <w:sz w:val="20"/>
                </w:rPr>
                <w:t>Certification required by Rule 13a-14(b) or Rule 15d-14(b) and Section 1350 of Chapter 63 of Title 18 of the United States Code (18 U.S.C. §1350).</w:t>
              </w:r>
            </w:hyperlink>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c>
          <w:tcPr>
            <w:tcW w:w="756" w:type="dxa"/>
            <w:tcBorders/>
            <w:vAlign w:val="center"/>
          </w:tcPr>
          <w:p>
            <w:pPr>
              <w:pStyle w:val="TableContents"/>
              <w:pBdr/>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pPr>
            <w:r>
              <w:t>​</w:t>
            </w:r>
          </w:p>
        </w:tc>
      </w:tr>
      <w:tr>
        <w:tc>
          <w:tcPr>
            <w:tcW w:w="75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c>
          <w:tcPr>
            <w:tcW w:w="756" w:type="dxa"/>
            <w:tcBorders/>
            <w:vAlign w:val="center"/>
          </w:tcPr>
          <w:p>
            <w:pPr>
              <w:pStyle w:val="TableContents"/>
              <w:pBdr/>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pPr>
            <w:r>
              <w:t>​</w:t>
            </w:r>
          </w:p>
        </w:tc>
      </w:tr>
      <w:tr>
        <w:tc>
          <w:tcPr>
            <w:tcW w:w="75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c>
          <w:tcPr>
            <w:tcW w:w="756" w:type="dxa"/>
            <w:tcBorders/>
            <w:vAlign w:val="center"/>
          </w:tcPr>
          <w:p>
            <w:pPr>
              <w:pStyle w:val="TableContents"/>
              <w:pBdr/>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pPr>
            <w:r>
              <w:t>​</w:t>
            </w:r>
          </w:p>
        </w:tc>
      </w:tr>
      <w:tr>
        <w:tc>
          <w:tcPr>
            <w:tcW w:w="75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c>
          <w:tcPr>
            <w:tcW w:w="756" w:type="dxa"/>
            <w:tcBorders/>
            <w:vAlign w:val="center"/>
          </w:tcPr>
          <w:p>
            <w:pPr>
              <w:pStyle w:val="TableContents"/>
              <w:pBdr/>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pPr>
            <w:r>
              <w:t>​</w:t>
            </w:r>
          </w:p>
        </w:tc>
      </w:tr>
      <w:tr>
        <w:tc>
          <w:tcPr>
            <w:tcW w:w="75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Definitions Linkbase Document.</w:t>
            </w:r>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c>
          <w:tcPr>
            <w:tcW w:w="756" w:type="dxa"/>
            <w:tcBorders/>
            <w:vAlign w:val="center"/>
          </w:tcPr>
          <w:p>
            <w:pPr>
              <w:pStyle w:val="TableContents"/>
              <w:pBdr/>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pPr>
            <w:r>
              <w:t>​</w:t>
            </w:r>
          </w:p>
        </w:tc>
      </w:tr>
      <w:tr>
        <w:tc>
          <w:tcPr>
            <w:tcW w:w="75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c>
          <w:tcPr>
            <w:tcW w:w="756" w:type="dxa"/>
            <w:tcBorders/>
            <w:vAlign w:val="center"/>
          </w:tcPr>
          <w:p>
            <w:pPr>
              <w:pStyle w:val="TableContents"/>
              <w:pBdr/>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pPr>
            <w:r>
              <w:t>​</w:t>
            </w:r>
          </w:p>
        </w:tc>
      </w:tr>
      <w:tr>
        <w:tc>
          <w:tcPr>
            <w:tcW w:w="75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c>
          <w:tcPr>
            <w:tcW w:w="756" w:type="dxa"/>
            <w:tcBorders/>
            <w:vAlign w:val="center"/>
          </w:tcPr>
          <w:p>
            <w:pPr>
              <w:pStyle w:val="TableContents"/>
              <w:pBdr/>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pPr>
            <w:r>
              <w:t>​</w:t>
            </w:r>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pPr>
            <w:r>
              <w:t>​</w:t>
            </w:r>
          </w:p>
        </w:tc>
      </w:tr>
      <w:tr>
        <w:tc>
          <w:tcPr>
            <w:tcW w:w="75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26" w:type="dxa"/>
            <w:tcBorders/>
            <w:vAlign w:val="center"/>
          </w:tcPr>
          <w:p>
            <w:pPr>
              <w:pStyle w:val="TableContents"/>
              <w:bidi w:val="0"/>
              <w:spacing w:lineRule="auto" w:line="285" w:before="0" w:after="0"/>
              <w:ind w:left="0" w:right="0" w:hanging="0"/>
              <w:jc w:val="left"/>
            </w:pPr>
            <w:r>
              <w:t>​</w:t>
            </w:r>
          </w:p>
        </w:tc>
        <w:tc>
          <w:tcPr>
            <w:tcW w:w="563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cover page of Corvus Pharmaceuticals, Inc.’s Quarterly Report on Form 10-Q for the three months ended September 30, 2026, formatted in Inline XBRL (contained in Exhibit 101).</w:t>
            </w:r>
          </w:p>
        </w:tc>
        <w:tc>
          <w:tcPr>
            <w:tcW w:w="226" w:type="dxa"/>
            <w:tcBorders/>
            <w:vAlign w:val="center"/>
          </w:tcPr>
          <w:p>
            <w:pPr>
              <w:pStyle w:val="TableContents"/>
              <w:bidi w:val="0"/>
              <w:spacing w:lineRule="auto" w:line="285" w:before="0" w:after="0"/>
              <w:ind w:left="0" w:right="0" w:hanging="0"/>
              <w:jc w:val="left"/>
            </w:pPr>
            <w:r>
              <w:t>​</w:t>
            </w:r>
          </w:p>
        </w:tc>
        <w:tc>
          <w:tcPr>
            <w:tcW w:w="51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59"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691" w:type="dxa"/>
            <w:tcBorders/>
            <w:vAlign w:val="center"/>
          </w:tcPr>
          <w:p>
            <w:pPr>
              <w:pStyle w:val="TableContents"/>
              <w:bidi w:val="0"/>
              <w:spacing w:lineRule="auto" w:line="285" w:before="0" w:after="0"/>
              <w:ind w:left="0" w:right="0" w:hanging="0"/>
              <w:jc w:val="center"/>
            </w:pPr>
            <w:r>
              <w:t>​</w:t>
            </w:r>
          </w:p>
        </w:tc>
        <w:tc>
          <w:tcPr>
            <w:tcW w:w="226" w:type="dxa"/>
            <w:tcBorders/>
            <w:vAlign w:val="center"/>
          </w:tcPr>
          <w:p>
            <w:pPr>
              <w:pStyle w:val="TableContents"/>
              <w:bidi w:val="0"/>
              <w:spacing w:lineRule="auto" w:line="285" w:before="0" w:after="0"/>
              <w:ind w:left="0" w:right="0" w:hanging="0"/>
              <w:jc w:val="center"/>
            </w:pPr>
            <w:r>
              <w:t>​</w:t>
            </w:r>
          </w:p>
        </w:tc>
        <w:tc>
          <w:tcPr>
            <w:tcW w:w="82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bl>
    <w:tbl>
      <w:tblPr>
        <w:tblW w:w="10205" w:type="dxa"/>
        <w:jc w:val="left"/>
        <w:tblInd w:w="0" w:type="dxa"/>
        <w:tblLayout w:type="fixed"/>
        <w:tblCellMar>
          <w:top w:w="0" w:type="dxa"/>
          <w:left w:w="0" w:type="dxa"/>
          <w:bottom w:w="0" w:type="dxa"/>
          <w:right w:w="0" w:type="dxa"/>
        </w:tblCellMar>
      </w:tblPr>
      <w:tblGrid>
        <w:gridCol w:w="226"/>
        <w:gridCol w:w="9979"/>
      </w:tblGrid>
      <w:tr>
        <w:tc>
          <w:tcPr>
            <w:tcW w:w="226"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certification attached as Exhibit 32.1 that accompanies this Quarterly Report on Form 10-Q is not deemed filed with the Securities and Exchange Commission and is not to be incorporated by reference into any filing of Corvus Pharmaceuticals,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bidi w:val="0"/>
        <w:spacing w:lineRule="auto" w:line="285" w:before="0" w:after="0"/>
        <w:ind w:left="0" w:right="0" w:hanging="0"/>
        <w:jc w:val="left"/>
      </w:pPr>
      <w:bookmarkStart w:id="1346" w:name="_013749"/>
      <w:bookmarkEnd w:id="1346"/>
      <w:r>
        <w:t>​</w:t>
      </w:r>
    </w:p>
    <w:p>
      <w:pPr>
        <w:pStyle w:val="TextBody"/>
        <w:bidi w:val="0"/>
        <w:spacing w:lineRule="auto" w:line="285" w:before="0" w:after="0"/>
        <w:ind w:left="0" w:right="0" w:hanging="0"/>
        <w:jc w:val="left"/>
      </w:pPr>
      <w: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lineRule="auto" w:line="285"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1347" w:name="SIGNATURES_676454"/>
      <w:bookmarkStart w:id="1348" w:name="_b66163ad_f475_4ae0_a1f1_29a161d6ddfc"/>
      <w:bookmarkEnd w:id="1347"/>
      <w:bookmarkEnd w:id="1348"/>
      <w:r>
        <w:rPr>
          <w:rFonts w:ascii="Times New Roman;Times;serif" w:hAnsi="Times New Roman;Times;serif"/>
          <w:b/>
          <w:sz w:val="20"/>
        </w:rPr>
        <w:t>SIGNATURES</w:t>
      </w:r>
    </w:p>
    <w:p>
      <w:pPr>
        <w:pStyle w:val="TextBody"/>
        <w:bidi w:val="0"/>
        <w:spacing w:lineRule="auto" w:line="285" w:before="0" w:after="0"/>
        <w:ind w:left="0" w:right="0" w:hanging="0"/>
        <w:jc w:val="left"/>
      </w:pPr>
      <w: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5" w:before="0" w:after="0"/>
        <w:ind w:left="0" w:right="0" w:hanging="0"/>
        <w:jc w:val="left"/>
      </w:pPr>
      <w:r>
        <w:t>​</w:t>
      </w:r>
    </w:p>
    <w:tbl>
      <w:tblPr>
        <w:tblW w:w="6468" w:type="dxa"/>
        <w:jc w:val="left"/>
        <w:tblInd w:w="0" w:type="dxa"/>
        <w:tblLayout w:type="fixed"/>
        <w:tblCellMar>
          <w:top w:w="0" w:type="dxa"/>
          <w:left w:w="0" w:type="dxa"/>
          <w:bottom w:w="0" w:type="dxa"/>
          <w:right w:w="0" w:type="dxa"/>
        </w:tblCellMar>
      </w:tblPr>
      <w:tblGrid>
        <w:gridCol w:w="2101"/>
        <w:gridCol w:w="406"/>
        <w:gridCol w:w="3961"/>
      </w:tblGrid>
      <w:tr>
        <w:tc>
          <w:tcPr>
            <w:tcW w:w="2101" w:type="dxa"/>
            <w:tcBorders/>
            <w:vAlign w:val="center"/>
          </w:tcPr>
          <w:p>
            <w:pPr>
              <w:pStyle w:val="TableContents"/>
              <w:bidi w:val="0"/>
              <w:spacing w:lineRule="auto" w:line="285" w:before="0" w:after="0"/>
              <w:ind w:left="0" w:right="0" w:hanging="0"/>
              <w:jc w:val="left"/>
            </w:pPr>
            <w:r>
              <w:t>​</w:t>
            </w:r>
          </w:p>
        </w:tc>
        <w:tc>
          <w:tcPr>
            <w:tcW w:w="406" w:type="dxa"/>
            <w:tcBorders/>
            <w:vAlign w:val="center"/>
          </w:tcPr>
          <w:p>
            <w:pPr>
              <w:pStyle w:val="TableContents"/>
              <w:bidi w:val="0"/>
              <w:spacing w:lineRule="auto" w:line="285" w:before="0" w:after="0"/>
              <w:ind w:left="0" w:right="0" w:hanging="0"/>
              <w:jc w:val="left"/>
            </w:pPr>
            <w:r>
              <w:t>​</w:t>
            </w:r>
          </w:p>
        </w:tc>
        <w:tc>
          <w:tcPr>
            <w:tcW w:w="3961" w:type="dxa"/>
            <w:tcBorders/>
            <w:vAlign w:val="center"/>
          </w:tcPr>
          <w:p>
            <w:pPr>
              <w:pStyle w:val="TableContents"/>
              <w:bidi w:val="0"/>
              <w:spacing w:lineRule="auto" w:line="285" w:before="0" w:after="0"/>
              <w:ind w:left="0" w:right="0" w:hanging="0"/>
              <w:jc w:val="left"/>
            </w:pPr>
            <w:r>
              <w:t>​</w:t>
            </w:r>
          </w:p>
        </w:tc>
      </w:tr>
      <w:tr>
        <w:tc>
          <w:tcPr>
            <w:tcW w:w="2101" w:type="dxa"/>
            <w:tcBorders/>
            <w:vAlign w:val="center"/>
          </w:tcPr>
          <w:p>
            <w:pPr>
              <w:pStyle w:val="TableContents"/>
              <w:bidi w:val="0"/>
              <w:spacing w:lineRule="auto" w:line="285" w:before="0" w:after="0"/>
              <w:ind w:left="0" w:right="0" w:hanging="0"/>
              <w:jc w:val="left"/>
            </w:pPr>
            <w:r>
              <w:t>​</w:t>
            </w:r>
          </w:p>
        </w:tc>
        <w:tc>
          <w:tcPr>
            <w:tcW w:w="4367"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CORVUS PHARMACEUTICALS, INC.</w:t>
            </w:r>
          </w:p>
        </w:tc>
      </w:tr>
      <w:tr>
        <w:tc>
          <w:tcPr>
            <w:tcW w:w="2101" w:type="dxa"/>
            <w:tcBorders/>
            <w:vAlign w:val="center"/>
          </w:tcPr>
          <w:p>
            <w:pPr>
              <w:pStyle w:val="TableContents"/>
              <w:bidi w:val="0"/>
              <w:spacing w:lineRule="auto" w:line="285" w:before="0" w:after="0"/>
              <w:ind w:left="0" w:right="0" w:hanging="0"/>
              <w:jc w:val="left"/>
            </w:pPr>
            <w:r>
              <w:t>​</w:t>
            </w:r>
          </w:p>
        </w:tc>
        <w:tc>
          <w:tcPr>
            <w:tcW w:w="406" w:type="dxa"/>
            <w:tcBorders/>
            <w:vAlign w:val="center"/>
          </w:tcPr>
          <w:p>
            <w:pPr>
              <w:pStyle w:val="TableContents"/>
              <w:bidi w:val="0"/>
              <w:spacing w:lineRule="auto" w:line="285" w:before="0" w:after="0"/>
              <w:ind w:left="0" w:right="0" w:hanging="0"/>
              <w:jc w:val="left"/>
            </w:pPr>
            <w:r>
              <w:t>​</w:t>
            </w:r>
          </w:p>
        </w:tc>
        <w:tc>
          <w:tcPr>
            <w:tcW w:w="3961" w:type="dxa"/>
            <w:tcBorders/>
            <w:vAlign w:val="center"/>
          </w:tcPr>
          <w:p>
            <w:pPr>
              <w:pStyle w:val="TableContents"/>
              <w:bidi w:val="0"/>
              <w:spacing w:lineRule="auto" w:line="285" w:before="0" w:after="0"/>
              <w:ind w:left="0" w:right="0" w:hanging="0"/>
              <w:jc w:val="left"/>
            </w:pPr>
            <w:r>
              <w:t>​</w:t>
            </w:r>
          </w:p>
        </w:tc>
      </w:tr>
      <w:tr>
        <w:tc>
          <w:tcPr>
            <w:tcW w:w="2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November 5, 2026</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Richard A. Miller</w:t>
            </w:r>
          </w:p>
        </w:tc>
      </w:tr>
      <w:tr>
        <w:tc>
          <w:tcPr>
            <w:tcW w:w="2101" w:type="dxa"/>
            <w:tcBorders/>
            <w:vAlign w:val="center"/>
          </w:tcPr>
          <w:p>
            <w:pPr>
              <w:pStyle w:val="TableContents"/>
              <w:bidi w:val="0"/>
              <w:spacing w:lineRule="auto" w:line="285" w:before="0" w:after="0"/>
              <w:ind w:left="0" w:right="0" w:hanging="0"/>
              <w:jc w:val="left"/>
            </w:pPr>
            <w:r>
              <w:t>​</w:t>
            </w:r>
          </w:p>
        </w:tc>
        <w:tc>
          <w:tcPr>
            <w:tcW w:w="406" w:type="dxa"/>
            <w:tcBorders/>
            <w:vAlign w:val="center"/>
          </w:tcPr>
          <w:p>
            <w:pPr>
              <w:pStyle w:val="TableContents"/>
              <w:bidi w:val="0"/>
              <w:spacing w:lineRule="auto" w:line="285" w:before="0" w:after="0"/>
              <w:ind w:left="0" w:right="0" w:hanging="0"/>
              <w:jc w:val="left"/>
            </w:pPr>
            <w:r>
              <w:t>​</w:t>
            </w:r>
          </w:p>
        </w:tc>
        <w:tc>
          <w:tcPr>
            <w:tcW w:w="396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Richard A. Miller, M.D.</w:t>
            </w:r>
          </w:p>
        </w:tc>
      </w:tr>
      <w:tr>
        <w:tc>
          <w:tcPr>
            <w:tcW w:w="2101" w:type="dxa"/>
            <w:tcBorders/>
            <w:vAlign w:val="center"/>
          </w:tcPr>
          <w:p>
            <w:pPr>
              <w:pStyle w:val="TableContents"/>
              <w:bidi w:val="0"/>
              <w:spacing w:lineRule="auto" w:line="285" w:before="0" w:after="0"/>
              <w:ind w:left="0" w:right="0" w:hanging="0"/>
              <w:jc w:val="left"/>
            </w:pPr>
            <w:r>
              <w:t>​</w:t>
            </w:r>
          </w:p>
        </w:tc>
        <w:tc>
          <w:tcPr>
            <w:tcW w:w="406" w:type="dxa"/>
            <w:tcBorders/>
            <w:vAlign w:val="center"/>
          </w:tcPr>
          <w:p>
            <w:pPr>
              <w:pStyle w:val="TableContents"/>
              <w:bidi w:val="0"/>
              <w:spacing w:lineRule="auto" w:line="285" w:before="0" w:after="0"/>
              <w:ind w:left="0" w:right="0" w:hanging="0"/>
              <w:jc w:val="left"/>
            </w:pPr>
            <w:r>
              <w:t>​</w:t>
            </w:r>
          </w:p>
        </w:tc>
        <w:tc>
          <w:tcPr>
            <w:tcW w:w="396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President, Chief Executive Officer and Director</w:t>
            </w:r>
          </w:p>
        </w:tc>
      </w:tr>
      <w:tr>
        <w:tc>
          <w:tcPr>
            <w:tcW w:w="2101" w:type="dxa"/>
            <w:tcBorders/>
            <w:vAlign w:val="center"/>
          </w:tcPr>
          <w:p>
            <w:pPr>
              <w:pStyle w:val="TableContents"/>
              <w:bidi w:val="0"/>
              <w:spacing w:lineRule="auto" w:line="285" w:before="0" w:after="0"/>
              <w:ind w:left="0" w:right="0" w:hanging="0"/>
              <w:jc w:val="left"/>
            </w:pPr>
            <w:r>
              <w:t>​</w:t>
            </w:r>
          </w:p>
        </w:tc>
        <w:tc>
          <w:tcPr>
            <w:tcW w:w="406" w:type="dxa"/>
            <w:tcBorders/>
            <w:vAlign w:val="center"/>
          </w:tcPr>
          <w:p>
            <w:pPr>
              <w:pStyle w:val="TableContents"/>
              <w:bidi w:val="0"/>
              <w:spacing w:lineRule="auto" w:line="285" w:before="0" w:after="0"/>
              <w:ind w:left="0" w:right="0" w:hanging="0"/>
              <w:jc w:val="left"/>
            </w:pPr>
            <w:r>
              <w:t>​</w:t>
            </w:r>
          </w:p>
        </w:tc>
        <w:tc>
          <w:tcPr>
            <w:tcW w:w="3961" w:type="dxa"/>
            <w:tcBorders/>
            <w:vAlign w:val="center"/>
          </w:tcPr>
          <w:p>
            <w:pPr>
              <w:pStyle w:val="TableContents"/>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r>
        <w:tc>
          <w:tcPr>
            <w:tcW w:w="2101" w:type="dxa"/>
            <w:tcBorders/>
            <w:vAlign w:val="center"/>
          </w:tcPr>
          <w:p>
            <w:pPr>
              <w:pStyle w:val="TableContents"/>
              <w:bidi w:val="0"/>
              <w:spacing w:lineRule="auto" w:line="285" w:before="0" w:after="0"/>
              <w:ind w:left="0" w:right="0" w:hanging="0"/>
              <w:jc w:val="left"/>
            </w:pPr>
            <w:r>
              <w:t>​</w:t>
            </w:r>
          </w:p>
        </w:tc>
        <w:tc>
          <w:tcPr>
            <w:tcW w:w="406" w:type="dxa"/>
            <w:tcBorders/>
            <w:vAlign w:val="center"/>
          </w:tcPr>
          <w:p>
            <w:pPr>
              <w:pStyle w:val="TableContents"/>
              <w:bidi w:val="0"/>
              <w:spacing w:lineRule="auto" w:line="285" w:before="0" w:after="0"/>
              <w:ind w:left="0" w:right="0" w:hanging="0"/>
              <w:jc w:val="left"/>
            </w:pPr>
            <w:r>
              <w:t>​</w:t>
            </w:r>
          </w:p>
        </w:tc>
        <w:tc>
          <w:tcPr>
            <w:tcW w:w="3961" w:type="dxa"/>
            <w:tcBorders/>
            <w:vAlign w:val="center"/>
          </w:tcPr>
          <w:p>
            <w:pPr>
              <w:pStyle w:val="TableContents"/>
              <w:bidi w:val="0"/>
              <w:spacing w:lineRule="auto" w:line="285" w:before="0" w:after="0"/>
              <w:ind w:left="0" w:right="0" w:hanging="0"/>
              <w:jc w:val="center"/>
            </w:pPr>
            <w:r>
              <w:t>​</w:t>
            </w:r>
          </w:p>
        </w:tc>
      </w:tr>
      <w:tr>
        <w:tc>
          <w:tcPr>
            <w:tcW w:w="2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November 5, 2026</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Leiv Lea</w:t>
            </w:r>
          </w:p>
        </w:tc>
      </w:tr>
      <w:tr>
        <w:tc>
          <w:tcPr>
            <w:tcW w:w="2101" w:type="dxa"/>
            <w:tcBorders/>
            <w:vAlign w:val="center"/>
          </w:tcPr>
          <w:p>
            <w:pPr>
              <w:pStyle w:val="TableContents"/>
              <w:bidi w:val="0"/>
              <w:spacing w:lineRule="auto" w:line="285" w:before="0" w:after="0"/>
              <w:ind w:left="0" w:right="0" w:hanging="0"/>
              <w:jc w:val="left"/>
            </w:pPr>
            <w:r>
              <w:t>​</w:t>
            </w:r>
          </w:p>
        </w:tc>
        <w:tc>
          <w:tcPr>
            <w:tcW w:w="406" w:type="dxa"/>
            <w:tcBorders/>
            <w:vAlign w:val="center"/>
          </w:tcPr>
          <w:p>
            <w:pPr>
              <w:pStyle w:val="TableContents"/>
              <w:bidi w:val="0"/>
              <w:spacing w:lineRule="auto" w:line="285" w:before="0" w:after="0"/>
              <w:ind w:left="0" w:right="0" w:hanging="0"/>
              <w:jc w:val="left"/>
            </w:pPr>
            <w:r>
              <w:t>​</w:t>
            </w:r>
          </w:p>
        </w:tc>
        <w:tc>
          <w:tcPr>
            <w:tcW w:w="396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Leiv Lea</w:t>
            </w:r>
          </w:p>
        </w:tc>
      </w:tr>
      <w:tr>
        <w:tc>
          <w:tcPr>
            <w:tcW w:w="2101" w:type="dxa"/>
            <w:tcBorders/>
            <w:vAlign w:val="center"/>
          </w:tcPr>
          <w:p>
            <w:pPr>
              <w:pStyle w:val="TableContents"/>
              <w:bidi w:val="0"/>
              <w:spacing w:lineRule="auto" w:line="285" w:before="0" w:after="0"/>
              <w:ind w:left="0" w:right="0" w:hanging="0"/>
              <w:jc w:val="left"/>
            </w:pPr>
            <w:r>
              <w:t>​</w:t>
            </w:r>
          </w:p>
        </w:tc>
        <w:tc>
          <w:tcPr>
            <w:tcW w:w="406" w:type="dxa"/>
            <w:tcBorders/>
            <w:vAlign w:val="center"/>
          </w:tcPr>
          <w:p>
            <w:pPr>
              <w:pStyle w:val="TableContents"/>
              <w:bidi w:val="0"/>
              <w:spacing w:lineRule="auto" w:line="285" w:before="0" w:after="0"/>
              <w:ind w:left="0" w:right="0" w:hanging="0"/>
              <w:jc w:val="left"/>
            </w:pPr>
            <w:r>
              <w:t>​</w:t>
            </w:r>
          </w:p>
        </w:tc>
        <w:tc>
          <w:tcPr>
            <w:tcW w:w="396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r>
        <w:tc>
          <w:tcPr>
            <w:tcW w:w="2101" w:type="dxa"/>
            <w:tcBorders/>
            <w:vAlign w:val="center"/>
          </w:tcPr>
          <w:p>
            <w:pPr>
              <w:pStyle w:val="TableContents"/>
              <w:bidi w:val="0"/>
              <w:spacing w:lineRule="auto" w:line="285" w:before="0" w:after="0"/>
              <w:ind w:left="0" w:right="0" w:hanging="0"/>
              <w:jc w:val="left"/>
            </w:pPr>
            <w:r>
              <w:t>​</w:t>
            </w:r>
          </w:p>
        </w:tc>
        <w:tc>
          <w:tcPr>
            <w:tcW w:w="406" w:type="dxa"/>
            <w:tcBorders/>
            <w:vAlign w:val="center"/>
          </w:tcPr>
          <w:p>
            <w:pPr>
              <w:pStyle w:val="TableContents"/>
              <w:bidi w:val="0"/>
              <w:spacing w:lineRule="auto" w:line="285" w:before="0" w:after="0"/>
              <w:ind w:left="0" w:right="0" w:hanging="0"/>
              <w:jc w:val="left"/>
            </w:pPr>
            <w:r>
              <w:t>​</w:t>
            </w:r>
          </w:p>
        </w:tc>
        <w:tc>
          <w:tcPr>
            <w:tcW w:w="3961" w:type="dxa"/>
            <w:tcBorders/>
            <w:vAlign w:val="center"/>
          </w:tcPr>
          <w:p>
            <w:pPr>
              <w:pStyle w:val="TableContents"/>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lineRule="auto" w:line="285" w:before="0" w:after="0"/>
        <w:ind w:left="0" w:right="0" w:hanging="0"/>
        <w:jc w:val="left"/>
      </w:pPr>
      <w: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0"/>
        <w:ind w:left="0" w:right="0" w:hanging="0"/>
        <w:jc w:val="right"/>
        <w:rPr>
          <w:rFonts w:ascii="Times New Roman;Times;serif" w:hAnsi="Times New Roman;Times;serif"/>
          <w:b/>
          <w:sz w:val="20"/>
        </w:rPr>
      </w:pPr>
      <w:bookmarkStart w:id="1349" w:name="crvs-ex31d1.htm"/>
      <w:bookmarkStart w:id="1350" w:name="kscrvsex31d1"/>
      <w:bookmarkEnd w:id="1349"/>
      <w:bookmarkEnd w:id="1350"/>
      <w:r>
        <w:rPr>
          <w:rFonts w:ascii="Times New Roman;Times;serif" w:hAnsi="Times New Roman;Times;serif"/>
          <w:b/>
          <w:sz w:val="20"/>
        </w:rPr>
        <w:t>Exhibit 31.1</w:t>
      </w:r>
      <w:r>
        <w:br w:type="page"/>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Richard A. Miller, M.D. President and Chief Executive Officer of Corvus Pharmaceuticals, Inc., certify that:</w:t>
      </w:r>
    </w:p>
    <w:p>
      <w:pPr>
        <w:pStyle w:val="TextBody"/>
        <w:bidi w:val="0"/>
        <w:spacing w:before="0" w:after="0"/>
        <w:ind w:left="0" w:right="0" w:hanging="0"/>
        <w:jc w:val="left"/>
      </w:pPr>
      <w: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1.    I have reviewed this Quarterly Report on Form 10-Q of Corvus Pharmaceuticals, Inc.;</w:t>
      </w:r>
    </w:p>
    <w:p>
      <w:pPr>
        <w:pStyle w:val="TextBody"/>
        <w:bidi w:val="0"/>
        <w:spacing w:before="0" w:after="0"/>
        <w:ind w:left="0" w:right="0" w:hanging="0"/>
        <w:jc w:val="left"/>
      </w:pPr>
      <w: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pPr>
      <w: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pPr>
      <w: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pPr>
      <w: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pPr>
      <w: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pPr>
      <w: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pPr>
      <w: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pPr>
      <w: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pPr>
      <w: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pPr>
      <w: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pPr>
      <w:r>
        <w:t>​</w:t>
      </w:r>
    </w:p>
    <w:tbl>
      <w:tblPr>
        <w:tblW w:w="5943" w:type="dxa"/>
        <w:jc w:val="left"/>
        <w:tblInd w:w="0" w:type="dxa"/>
        <w:tblLayout w:type="fixed"/>
        <w:tblCellMar>
          <w:top w:w="0" w:type="dxa"/>
          <w:left w:w="0" w:type="dxa"/>
          <w:bottom w:w="0" w:type="dxa"/>
          <w:right w:w="0" w:type="dxa"/>
        </w:tblCellMar>
      </w:tblPr>
      <w:tblGrid>
        <w:gridCol w:w="2101"/>
        <w:gridCol w:w="631"/>
        <w:gridCol w:w="3211"/>
      </w:tblGrid>
      <w:tr>
        <w:tc>
          <w:tcPr>
            <w:tcW w:w="2101" w:type="dxa"/>
            <w:tcBorders/>
            <w:vAlign w:val="center"/>
          </w:tcPr>
          <w:p>
            <w:pPr>
              <w:pStyle w:val="TableContents"/>
              <w:bidi w:val="0"/>
              <w:spacing w:before="0" w:after="0"/>
              <w:ind w:left="0" w:right="0" w:hanging="0"/>
              <w:jc w:val="left"/>
            </w:pPr>
            <w:r>
              <w:t>​</w:t>
            </w:r>
          </w:p>
        </w:tc>
        <w:tc>
          <w:tcPr>
            <w:tcW w:w="631" w:type="dxa"/>
            <w:tcBorders/>
            <w:vAlign w:val="center"/>
          </w:tcPr>
          <w:p>
            <w:pPr>
              <w:pStyle w:val="TableContents"/>
              <w:bidi w:val="0"/>
              <w:spacing w:before="0" w:after="0"/>
              <w:ind w:left="0" w:right="0" w:hanging="0"/>
              <w:jc w:val="left"/>
            </w:pPr>
            <w:r>
              <w:t>​</w:t>
            </w:r>
          </w:p>
        </w:tc>
        <w:tc>
          <w:tcPr>
            <w:tcW w:w="3211" w:type="dxa"/>
            <w:tcBorders/>
            <w:vAlign w:val="center"/>
          </w:tcPr>
          <w:p>
            <w:pPr>
              <w:pStyle w:val="TableContents"/>
              <w:bidi w:val="0"/>
              <w:spacing w:before="0" w:after="0"/>
              <w:ind w:left="0" w:right="0" w:hanging="0"/>
              <w:jc w:val="left"/>
            </w:pPr>
            <w:r>
              <w:t>​</w:t>
            </w:r>
          </w:p>
        </w:tc>
      </w:tr>
      <w:t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A. Miller</w:t>
            </w:r>
          </w:p>
        </w:tc>
      </w:tr>
      <w:tr>
        <w:tc>
          <w:tcPr>
            <w:tcW w:w="2101" w:type="dxa"/>
            <w:tcBorders/>
            <w:vAlign w:val="center"/>
          </w:tcPr>
          <w:p>
            <w:pPr>
              <w:pStyle w:val="TableContents"/>
              <w:bidi w:val="0"/>
              <w:spacing w:before="0" w:after="0"/>
              <w:ind w:left="0" w:right="0" w:hanging="0"/>
              <w:jc w:val="left"/>
            </w:pPr>
            <w: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Richard A. Miller, M.D. </w:t>
            </w:r>
          </w:p>
        </w:tc>
      </w:tr>
      <w:tr>
        <w:tc>
          <w:tcPr>
            <w:tcW w:w="2101" w:type="dxa"/>
            <w:tcBorders/>
            <w:vAlign w:val="center"/>
          </w:tcPr>
          <w:p>
            <w:pPr>
              <w:pStyle w:val="TableContents"/>
              <w:bidi w:val="0"/>
              <w:spacing w:before="0" w:after="0"/>
              <w:ind w:left="0" w:right="0" w:hanging="0"/>
              <w:jc w:val="left"/>
            </w:pPr>
            <w: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c>
          <w:tcPr>
            <w:tcW w:w="2101" w:type="dxa"/>
            <w:tcBorders/>
            <w:vAlign w:val="center"/>
          </w:tcPr>
          <w:p>
            <w:pPr>
              <w:pStyle w:val="TableContents"/>
              <w:bidi w:val="0"/>
              <w:spacing w:before="0" w:after="0"/>
              <w:ind w:left="0" w:right="0" w:hanging="0"/>
              <w:jc w:val="left"/>
            </w:pPr>
            <w:r>
              <w:t>​</w:t>
            </w:r>
          </w:p>
        </w:tc>
        <w:tc>
          <w:tcPr>
            <w:tcW w:w="631" w:type="dxa"/>
            <w:tcBorders/>
            <w:vAlign w:val="center"/>
          </w:tcPr>
          <w:p>
            <w:pPr>
              <w:pStyle w:val="TableContents"/>
              <w:bidi w:val="0"/>
              <w:spacing w:before="0" w:after="0"/>
              <w:ind w:left="0" w:right="0" w:hanging="0"/>
              <w:jc w:val="left"/>
            </w:pPr>
            <w: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0"/>
        <w:ind w:left="0" w:right="0" w:hanging="0"/>
        <w:jc w:val="right"/>
        <w:rPr>
          <w:rFonts w:ascii="Times New Roman;Times;serif" w:hAnsi="Times New Roman;Times;serif"/>
          <w:b/>
          <w:sz w:val="20"/>
        </w:rPr>
      </w:pPr>
      <w:bookmarkStart w:id="1351" w:name="crvs-ex31d2.htm"/>
      <w:bookmarkStart w:id="1352" w:name="kscrvsex31d2"/>
      <w:bookmarkEnd w:id="1351"/>
      <w:bookmarkEnd w:id="1352"/>
      <w:r>
        <w:rPr>
          <w:rFonts w:ascii="Times New Roman;Times;serif" w:hAnsi="Times New Roman;Times;serif"/>
          <w:b/>
          <w:sz w:val="20"/>
        </w:rPr>
        <w:t>Exhibit 31.2</w:t>
      </w:r>
      <w:r>
        <w:br w:type="page"/>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Leiv Lea, Chief Financial Officer of Corvus Pharmaceuticals, Inc., certify that:</w:t>
      </w:r>
    </w:p>
    <w:p>
      <w:pPr>
        <w:pStyle w:val="TextBody"/>
        <w:bidi w:val="0"/>
        <w:spacing w:before="0" w:after="0"/>
        <w:ind w:left="0" w:right="0" w:hanging="0"/>
        <w:jc w:val="left"/>
      </w:pPr>
      <w: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1.    I have reviewed this Quarterly Report on Form 10-Q of Corvus Pharmaceuticals, Inc.;</w:t>
      </w:r>
    </w:p>
    <w:p>
      <w:pPr>
        <w:pStyle w:val="TextBody"/>
        <w:bidi w:val="0"/>
        <w:spacing w:before="0" w:after="0"/>
        <w:ind w:left="0" w:right="0" w:hanging="0"/>
        <w:jc w:val="left"/>
      </w:pPr>
      <w: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pPr>
      <w: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pPr>
      <w: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pPr>
      <w: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pPr>
      <w: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pPr>
      <w: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pPr>
      <w: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pPr>
      <w: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pPr>
      <w: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pPr>
      <w: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pPr>
      <w:r>
        <w:t>​</w:t>
      </w:r>
    </w:p>
    <w:tbl>
      <w:tblPr>
        <w:tblW w:w="6378" w:type="dxa"/>
        <w:jc w:val="left"/>
        <w:tblInd w:w="0" w:type="dxa"/>
        <w:tblLayout w:type="fixed"/>
        <w:tblCellMar>
          <w:top w:w="0" w:type="dxa"/>
          <w:left w:w="0" w:type="dxa"/>
          <w:bottom w:w="0" w:type="dxa"/>
          <w:right w:w="0" w:type="dxa"/>
        </w:tblCellMar>
      </w:tblPr>
      <w:tblGrid>
        <w:gridCol w:w="2101"/>
        <w:gridCol w:w="631"/>
        <w:gridCol w:w="3646"/>
      </w:tblGrid>
      <w:tr>
        <w:tc>
          <w:tcPr>
            <w:tcW w:w="2101" w:type="dxa"/>
            <w:tcBorders/>
            <w:vAlign w:val="center"/>
          </w:tcPr>
          <w:p>
            <w:pPr>
              <w:pStyle w:val="TableContents"/>
              <w:bidi w:val="0"/>
              <w:spacing w:before="0" w:after="0"/>
              <w:ind w:left="0" w:right="0" w:hanging="0"/>
              <w:jc w:val="left"/>
            </w:pPr>
            <w:r>
              <w:t>​</w:t>
            </w:r>
          </w:p>
        </w:tc>
        <w:tc>
          <w:tcPr>
            <w:tcW w:w="631" w:type="dxa"/>
            <w:tcBorders/>
            <w:vAlign w:val="center"/>
          </w:tcPr>
          <w:p>
            <w:pPr>
              <w:pStyle w:val="TableContents"/>
              <w:bidi w:val="0"/>
              <w:spacing w:before="0" w:after="0"/>
              <w:ind w:left="0" w:right="0" w:hanging="0"/>
              <w:jc w:val="left"/>
            </w:pPr>
            <w:r>
              <w:t>​</w:t>
            </w:r>
          </w:p>
        </w:tc>
        <w:tc>
          <w:tcPr>
            <w:tcW w:w="3646" w:type="dxa"/>
            <w:tcBorders/>
            <w:vAlign w:val="center"/>
          </w:tcPr>
          <w:p>
            <w:pPr>
              <w:pStyle w:val="TableContents"/>
              <w:bidi w:val="0"/>
              <w:spacing w:before="0" w:after="0"/>
              <w:ind w:left="0" w:right="0" w:hanging="0"/>
              <w:jc w:val="left"/>
            </w:pPr>
            <w:r>
              <w:t>​</w:t>
            </w:r>
          </w:p>
        </w:tc>
      </w:tr>
      <w:t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Leiv Lea</w:t>
            </w:r>
          </w:p>
        </w:tc>
      </w:tr>
      <w:tr>
        <w:tc>
          <w:tcPr>
            <w:tcW w:w="2101" w:type="dxa"/>
            <w:tcBorders/>
            <w:vAlign w:val="center"/>
          </w:tcPr>
          <w:p>
            <w:pPr>
              <w:pStyle w:val="TableContents"/>
              <w:bidi w:val="0"/>
              <w:spacing w:before="0" w:after="0"/>
              <w:ind w:left="0" w:right="0" w:hanging="0"/>
              <w:jc w:val="left"/>
            </w:pPr>
            <w: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Leiv Lea</w:t>
            </w:r>
          </w:p>
        </w:tc>
      </w:tr>
      <w:tr>
        <w:tc>
          <w:tcPr>
            <w:tcW w:w="2101" w:type="dxa"/>
            <w:tcBorders/>
            <w:vAlign w:val="center"/>
          </w:tcPr>
          <w:p>
            <w:pPr>
              <w:pStyle w:val="TableContents"/>
              <w:bidi w:val="0"/>
              <w:spacing w:before="0" w:after="0"/>
              <w:ind w:left="0" w:right="0" w:hanging="0"/>
              <w:jc w:val="left"/>
            </w:pPr>
            <w: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c>
          <w:tcPr>
            <w:tcW w:w="2101" w:type="dxa"/>
            <w:tcBorders/>
            <w:vAlign w:val="center"/>
          </w:tcPr>
          <w:p>
            <w:pPr>
              <w:pStyle w:val="TableContents"/>
              <w:bidi w:val="0"/>
              <w:spacing w:before="0" w:after="0"/>
              <w:ind w:left="0" w:right="0" w:hanging="0"/>
              <w:jc w:val="left"/>
            </w:pPr>
            <w:r>
              <w:t>​</w:t>
            </w:r>
          </w:p>
        </w:tc>
        <w:tc>
          <w:tcPr>
            <w:tcW w:w="631" w:type="dxa"/>
            <w:tcBorders/>
            <w:vAlign w:val="center"/>
          </w:tcPr>
          <w:p>
            <w:pPr>
              <w:pStyle w:val="TableContents"/>
              <w:bidi w:val="0"/>
              <w:spacing w:before="0" w:after="0"/>
              <w:ind w:left="0" w:right="0" w:hanging="0"/>
              <w:jc w:val="left"/>
            </w:pPr>
            <w:r>
              <w:t>​</w:t>
            </w:r>
          </w:p>
        </w:tc>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0"/>
        <w:ind w:left="0" w:right="0" w:hanging="0"/>
        <w:jc w:val="right"/>
        <w:rPr>
          <w:rFonts w:ascii="Times New Roman;Times;serif" w:hAnsi="Times New Roman;Times;serif"/>
          <w:b/>
          <w:sz w:val="20"/>
        </w:rPr>
      </w:pPr>
      <w:bookmarkStart w:id="1353" w:name="crvs-ex32d1.htm"/>
      <w:bookmarkStart w:id="1354" w:name="kscrvsex32d1"/>
      <w:bookmarkEnd w:id="1353"/>
      <w:bookmarkEnd w:id="1354"/>
      <w:r>
        <w:rPr>
          <w:rFonts w:ascii="Times New Roman;Times;serif" w:hAnsi="Times New Roman;Times;serif"/>
          <w:b/>
          <w:sz w:val="20"/>
        </w:rPr>
        <w:t>Exhibit 32.1</w:t>
      </w:r>
      <w:r>
        <w:br w:type="page"/>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Corvus Pharmaceuticals, Inc. (the “Company”) on Form 10-Q for the fiscal quarter ended September 30, 2026, as filed with the Securities and Exchange Commission on the date hereof (the “Report”), Richard A. Miller, President and Chief Executive Officer of the Company, and Leiv Lea, Chief Financial Officer of the Company, respectively, do each hereby certify, pursuant to 18 U.S.C. Section 1350, as adopted pursuant to Section 906 of the Sarbanes-Oxley Act of 2002, that:</w:t>
      </w:r>
    </w:p>
    <w:p>
      <w:pPr>
        <w:pStyle w:val="TextBody"/>
        <w:bidi w:val="0"/>
        <w:spacing w:before="0" w:after="0"/>
        <w:ind w:left="0" w:right="0" w:hanging="0"/>
        <w:jc w:val="left"/>
      </w:pPr>
      <w: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1080" w:right="0" w:hanging="0"/>
        <w:jc w:val="left"/>
      </w:pPr>
      <w: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pPr>
      <w:r>
        <w:t>​</w:t>
      </w:r>
    </w:p>
    <w:tbl>
      <w:tblPr>
        <w:tblW w:w="3890" w:type="dxa"/>
        <w:jc w:val="left"/>
        <w:tblInd w:w="0" w:type="dxa"/>
        <w:tblLayout w:type="fixed"/>
        <w:tblCellMar>
          <w:top w:w="0" w:type="dxa"/>
          <w:left w:w="0" w:type="dxa"/>
          <w:bottom w:w="0" w:type="dxa"/>
          <w:right w:w="0" w:type="dxa"/>
        </w:tblCellMar>
      </w:tblPr>
      <w:tblGrid>
        <w:gridCol w:w="3736"/>
        <w:gridCol w:w="154"/>
      </w:tblGrid>
      <w:tr>
        <w:tc>
          <w:tcPr>
            <w:tcW w:w="3736"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left"/>
            </w:pPr>
            <w:r>
              <w:t>​</w:t>
            </w:r>
          </w:p>
        </w:tc>
      </w:tr>
      <w:tr>
        <w:tc>
          <w:tcPr>
            <w:tcW w:w="3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A. Miller</w:t>
            </w:r>
          </w:p>
        </w:tc>
        <w:tc>
          <w:tcPr>
            <w:tcW w:w="154" w:type="dxa"/>
            <w:tcBorders/>
            <w:vAlign w:val="center"/>
          </w:tcPr>
          <w:p>
            <w:pPr>
              <w:pStyle w:val="TableContents"/>
              <w:bidi w:val="0"/>
              <w:spacing w:before="0" w:after="0"/>
              <w:ind w:left="0" w:right="0" w:hanging="0"/>
              <w:jc w:val="left"/>
            </w:pPr>
            <w:r>
              <w:t>​</w:t>
            </w:r>
          </w:p>
        </w:tc>
      </w:tr>
      <w:t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A. Miller, M.D.</w:t>
            </w:r>
          </w:p>
        </w:tc>
        <w:tc>
          <w:tcPr>
            <w:tcW w:w="154" w:type="dxa"/>
            <w:tcBorders/>
            <w:vAlign w:val="center"/>
          </w:tcPr>
          <w:p>
            <w:pPr>
              <w:pStyle w:val="TableContents"/>
              <w:bidi w:val="0"/>
              <w:spacing w:before="0" w:after="0"/>
              <w:ind w:left="0" w:right="0" w:hanging="0"/>
              <w:jc w:val="left"/>
            </w:pPr>
            <w:r>
              <w:t>​</w:t>
            </w:r>
          </w:p>
        </w:tc>
      </w:tr>
      <w:t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pPr>
            <w:r>
              <w:t>​</w:t>
            </w:r>
          </w:p>
        </w:tc>
      </w:tr>
      <w:t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pPr>
            <w:r>
              <w:t>​</w:t>
            </w:r>
          </w:p>
        </w:tc>
      </w:tr>
      <w:tr>
        <w:tc>
          <w:tcPr>
            <w:tcW w:w="3736"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left"/>
            </w:pPr>
            <w:r>
              <w:t>​</w:t>
            </w:r>
          </w:p>
        </w:tc>
      </w:tr>
      <w:t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2026</w:t>
            </w:r>
          </w:p>
        </w:tc>
        <w:tc>
          <w:tcPr>
            <w:tcW w:w="154" w:type="dxa"/>
            <w:tcBorders/>
            <w:vAlign w:val="center"/>
          </w:tcPr>
          <w:p>
            <w:pPr>
              <w:pStyle w:val="TableContents"/>
              <w:bidi w:val="0"/>
              <w:spacing w:before="0" w:after="0"/>
              <w:ind w:left="0" w:right="0" w:hanging="0"/>
              <w:jc w:val="left"/>
            </w:pPr>
            <w:r>
              <w:t>​</w:t>
            </w:r>
          </w:p>
        </w:tc>
      </w:tr>
      <w:tr>
        <w:tc>
          <w:tcPr>
            <w:tcW w:w="3736"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left"/>
            </w:pPr>
            <w:r>
              <w:t>​</w:t>
            </w:r>
          </w:p>
        </w:tc>
      </w:tr>
      <w:tr>
        <w:tc>
          <w:tcPr>
            <w:tcW w:w="3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Leiv Lea</w:t>
            </w:r>
          </w:p>
        </w:tc>
        <w:tc>
          <w:tcPr>
            <w:tcW w:w="154" w:type="dxa"/>
            <w:tcBorders/>
            <w:vAlign w:val="center"/>
          </w:tcPr>
          <w:p>
            <w:pPr>
              <w:pStyle w:val="TableContents"/>
              <w:bidi w:val="0"/>
              <w:spacing w:before="0" w:after="0"/>
              <w:ind w:left="0" w:right="0" w:hanging="0"/>
              <w:jc w:val="left"/>
            </w:pPr>
            <w:r>
              <w:t>​</w:t>
            </w:r>
          </w:p>
        </w:tc>
      </w:tr>
      <w:t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Leiv Lea</w:t>
            </w:r>
          </w:p>
        </w:tc>
        <w:tc>
          <w:tcPr>
            <w:tcW w:w="154" w:type="dxa"/>
            <w:tcBorders/>
            <w:vAlign w:val="center"/>
          </w:tcPr>
          <w:p>
            <w:pPr>
              <w:pStyle w:val="TableContents"/>
              <w:bidi w:val="0"/>
              <w:spacing w:before="0" w:after="0"/>
              <w:ind w:left="0" w:right="0" w:hanging="0"/>
              <w:jc w:val="left"/>
            </w:pPr>
            <w:r>
              <w:t>​</w:t>
            </w:r>
          </w:p>
        </w:tc>
      </w:tr>
      <w:t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pPr>
            <w:r>
              <w:t>​</w:t>
            </w:r>
          </w:p>
        </w:tc>
      </w:tr>
      <w:t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154" w:type="dxa"/>
            <w:tcBorders/>
            <w:vAlign w:val="center"/>
          </w:tcPr>
          <w:p>
            <w:pPr>
              <w:pStyle w:val="TableContents"/>
              <w:bidi w:val="0"/>
              <w:spacing w:before="0" w:after="0"/>
              <w:ind w:left="0" w:right="0" w:hanging="0"/>
              <w:jc w:val="left"/>
            </w:pPr>
            <w:r>
              <w:t>​</w:t>
            </w:r>
          </w:p>
        </w:tc>
      </w:tr>
      <w:tr>
        <w:tc>
          <w:tcPr>
            <w:tcW w:w="3736"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left"/>
            </w:pPr>
            <w:r>
              <w:t>​</w:t>
            </w:r>
          </w:p>
        </w:tc>
      </w:tr>
      <w:t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2026</w:t>
            </w:r>
          </w:p>
        </w:tc>
        <w:tc>
          <w:tcPr>
            <w:tcW w:w="154"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This certification accompanies the Report on Form 10-Q to which it relates, is not deemed filed with the Securities and Exchange Commission and is not to be incorporated by reference into any filing of Corvus Pharmaceuticals, Inc. under the Securities Act of 1933, as amended, or the Securities Exchange Act of 1934, as amended (whether made before or after the date of this Report on Form 10-Q), irrespective of any general incorporation language contained in such filing.</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www.sec.gov/Archives/edgar/data/1626971/000110465916108304/a16-7289_1ex3d1.htm" TargetMode="External"/><Relationship Id="rId9" Type="http://schemas.openxmlformats.org/officeDocument/2006/relationships/hyperlink" Target="http://www.sec.gov/Archives/edgar/data/1626971/000110465916108304/a16-7289_1ex3d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52254</Words>
  <Characters>291485</Characters>
  <CharactersWithSpaces>345105</CharactersWithSpaces>
  <Paragraphs>5961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