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CORVUS PHARMACEUTICALS,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00" w:right="339" w:bottom="1440" w:gutter="0" w:footer="0" w:header="0"/>
        </w:sectPr>
      </w:pPr>
    </w:p>
    <w:p>
      <w:pPr>
        <w:spacing w:after="0" w:line="200" w:lineRule="exact"/>
        <w:rPr>
          <w:sz w:val="24"/>
          <w:szCs w:val="24"/>
          <w:color w:val="auto"/>
        </w:rPr>
      </w:pPr>
    </w:p>
    <w:p>
      <w:pPr>
        <w:spacing w:after="0" w:line="285"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8"/>
          <w:szCs w:val="18"/>
          <w:b w:val="1"/>
          <w:bCs w:val="1"/>
          <w:color w:val="auto"/>
        </w:rPr>
        <w:t>001-37719</w:t>
      </w:r>
    </w:p>
    <w:p>
      <w:pPr>
        <w:spacing w:after="0" w:line="31"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46-4670809</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7"/>
          <w:szCs w:val="17"/>
          <w:b w:val="1"/>
          <w:bCs w:val="1"/>
          <w:color w:val="auto"/>
        </w:rPr>
        <w:t>Identification Number)</w:t>
      </w:r>
    </w:p>
    <w:p>
      <w:pPr>
        <w:spacing w:after="0" w:line="106" w:lineRule="exact"/>
        <w:rPr>
          <w:sz w:val="24"/>
          <w:szCs w:val="24"/>
          <w:color w:val="auto"/>
        </w:rPr>
      </w:pPr>
    </w:p>
    <w:p>
      <w:pPr>
        <w:sectPr>
          <w:pgSz w:w="11900" w:h="16838" w:orient="portrait"/>
          <w:cols w:equalWidth="0" w:num="3">
            <w:col w:w="4400" w:space="720"/>
            <w:col w:w="2660" w:space="720"/>
            <w:col w:w="2740"/>
          </w:cols>
          <w:pgMar w:left="320" w:top="200" w:right="339" w:bottom="1440" w:gutter="0" w:footer="0" w:header="0"/>
          <w:type w:val="continuous"/>
        </w:sect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901 Gateway Boulevard, Third Floor</w:t>
      </w:r>
    </w:p>
    <w:p>
      <w:pPr>
        <w:spacing w:after="0" w:line="3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South San Francisco, CA</w:t>
      </w:r>
    </w:p>
    <w:p>
      <w:pPr>
        <w:spacing w:after="0" w:line="9"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8"/>
          <w:szCs w:val="18"/>
          <w:b w:val="1"/>
          <w:bCs w:val="1"/>
          <w:color w:val="auto"/>
        </w:rPr>
        <w:t>94080</w:t>
      </w:r>
    </w:p>
    <w:p>
      <w:pPr>
        <w:spacing w:after="0" w:line="31"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40" w:space="720"/>
            <w:col w:w="3180"/>
          </w:cols>
          <w:pgMar w:left="320" w:top="2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900-4520</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8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CRVS</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0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0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June 11, 2026, Corvus Pharmaceuticals, Inc. (the “Company”) held its 2026 Annual Meeting of Stockholders (the “Annual Meeting”). Only stockholders of record at the close of business on April 16, 2026, the record date for the Annual Meeting, were entitled to vote at the Annual Meeting. As of the record date, there were 84,090,424 shares of the Company’s common stock outstanding and entitled to vote at the Annual Meeting. At the Annual Meeting, 73,021,854 shares of the Company’s common stock were voted in person or by proxy for the three proposals set forth below, each of which is described in the Company’s Definitive Proxy Statement on Schedule 14A filed with the U.S. Securities and Exchange Commission on April 24,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tabulation of the stockholder votes on each proposal brought before the Annual Meeting is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1 — Election of Directors</w:t>
      </w:r>
    </w:p>
    <w:p>
      <w:pPr>
        <w:spacing w:after="0" w:line="31" w:lineRule="exact"/>
        <w:rPr>
          <w:sz w:val="20"/>
          <w:szCs w:val="20"/>
          <w:color w:val="auto"/>
        </w:rPr>
      </w:pPr>
    </w:p>
    <w:p>
      <w:pPr>
        <w:jc w:val="both"/>
        <w:ind w:right="540"/>
        <w:spacing w:after="0" w:line="255" w:lineRule="auto"/>
        <w:rPr>
          <w:sz w:val="20"/>
          <w:szCs w:val="20"/>
          <w:color w:val="auto"/>
        </w:rPr>
      </w:pPr>
      <w:r>
        <w:rPr>
          <w:rFonts w:ascii="Times New Roman" w:cs="Times New Roman" w:eastAsia="Times New Roman" w:hAnsi="Times New Roman"/>
          <w:sz w:val="18"/>
          <w:szCs w:val="18"/>
          <w:color w:val="auto"/>
        </w:rPr>
        <w:t>The Company’s stockholders elected the Class I director nominees below to the Company’s Board of Directors to hold office until the 2029 Annual Meeting of Stockholders or until his or her respective successor is elected and qualified or appointed, or the earlier of his or her death, resignation or removal.</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Class III Director Nominees</w:t>
            </w:r>
          </w:p>
        </w:tc>
        <w:tc>
          <w:tcPr>
            <w:tcW w:w="14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0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Withheld</w:t>
            </w:r>
          </w:p>
        </w:tc>
        <w:tc>
          <w:tcPr>
            <w:tcW w:w="1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w:t>
            </w: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b w:val="1"/>
                <w:bCs w:val="1"/>
                <w:color w:val="auto"/>
                <w:w w:val="98"/>
              </w:rPr>
              <w:t>Votes</w:t>
            </w:r>
          </w:p>
        </w:tc>
      </w:tr>
      <w:tr>
        <w:trPr>
          <w:trHeight w:val="318"/>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A. Miller, M.D.</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58,275,179</w:t>
            </w:r>
          </w:p>
        </w:tc>
        <w:tc>
          <w:tcPr>
            <w:tcW w:w="10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2,697,052</w:t>
            </w:r>
          </w:p>
        </w:tc>
        <w:tc>
          <w:tcPr>
            <w:tcW w:w="1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12,049,623</w:t>
            </w:r>
          </w:p>
        </w:tc>
      </w:tr>
      <w:tr>
        <w:trPr>
          <w:trHeight w:val="432"/>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Linda S. Grais, M.D., J.D.</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53,185,380</w:t>
            </w:r>
          </w:p>
        </w:tc>
        <w:tc>
          <w:tcPr>
            <w:tcW w:w="10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7,786,851</w:t>
            </w:r>
          </w:p>
        </w:tc>
        <w:tc>
          <w:tcPr>
            <w:tcW w:w="1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12,049,623</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2 — Ratification of Selection of Independent Registered Accounting Firm</w:t>
      </w:r>
    </w:p>
    <w:p>
      <w:pPr>
        <w:spacing w:after="0" w:line="3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The Company’s stockholders ratified the selection of PricewaterhouseCoopers LLP as the independent registered public accounting firm of the Company for its fiscal year ending December 31, 2026.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318"/>
        </w:trPr>
        <w:tc>
          <w:tcPr>
            <w:tcW w:w="3720" w:type="dxa"/>
            <w:vAlign w:val="bottom"/>
            <w:tcBorders>
              <w:top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rPr>
              <w:t>72,864,335</w:t>
            </w:r>
          </w:p>
        </w:tc>
        <w:tc>
          <w:tcPr>
            <w:tcW w:w="120" w:type="dxa"/>
            <w:vAlign w:val="bottom"/>
          </w:tcPr>
          <w:p>
            <w:pPr>
              <w:spacing w:after="0"/>
              <w:rPr>
                <w:sz w:val="24"/>
                <w:szCs w:val="24"/>
                <w:color w:val="auto"/>
              </w:rPr>
            </w:pPr>
          </w:p>
        </w:tc>
        <w:tc>
          <w:tcPr>
            <w:tcW w:w="3600" w:type="dxa"/>
            <w:vAlign w:val="bottom"/>
            <w:tcBorders>
              <w:top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rPr>
              <w:t>105,674</w:t>
            </w:r>
          </w:p>
        </w:tc>
        <w:tc>
          <w:tcPr>
            <w:tcW w:w="100" w:type="dxa"/>
            <w:vAlign w:val="bottom"/>
          </w:tcPr>
          <w:p>
            <w:pPr>
              <w:spacing w:after="0"/>
              <w:rPr>
                <w:sz w:val="24"/>
                <w:szCs w:val="24"/>
                <w:color w:val="auto"/>
              </w:rPr>
            </w:pPr>
          </w:p>
        </w:tc>
        <w:tc>
          <w:tcPr>
            <w:tcW w:w="3700" w:type="dxa"/>
            <w:vAlign w:val="bottom"/>
            <w:tcBorders>
              <w:top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51,845</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3 —Non-Binding Advisory Vote to Approve the Compensation of the Company’s Named Executive Officers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 non-binding advisory basis, the Company’s stockholders approved the compensation of the Company’s named executive officers.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2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0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37"/>
        </w:trPr>
        <w:tc>
          <w:tcPr>
            <w:tcW w:w="282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58,936,532</w:t>
            </w:r>
          </w:p>
        </w:tc>
        <w:tc>
          <w:tcPr>
            <w:tcW w:w="140" w:type="dxa"/>
            <w:vAlign w:val="bottom"/>
          </w:tcPr>
          <w:p>
            <w:pPr>
              <w:spacing w:after="0"/>
              <w:rPr>
                <w:sz w:val="20"/>
                <w:szCs w:val="20"/>
                <w:color w:val="auto"/>
              </w:rPr>
            </w:pPr>
          </w:p>
        </w:tc>
        <w:tc>
          <w:tcPr>
            <w:tcW w:w="2700" w:type="dxa"/>
            <w:vAlign w:val="bottom"/>
            <w:tcBorders>
              <w:top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1,971,370</w:t>
            </w:r>
          </w:p>
        </w:tc>
        <w:tc>
          <w:tcPr>
            <w:tcW w:w="100" w:type="dxa"/>
            <w:vAlign w:val="bottom"/>
          </w:tcPr>
          <w:p>
            <w:pPr>
              <w:spacing w:after="0"/>
              <w:rPr>
                <w:sz w:val="20"/>
                <w:szCs w:val="20"/>
                <w:color w:val="auto"/>
              </w:rPr>
            </w:pPr>
          </w:p>
        </w:tc>
        <w:tc>
          <w:tcPr>
            <w:tcW w:w="2680" w:type="dxa"/>
            <w:vAlign w:val="bottom"/>
            <w:tcBorders>
              <w:top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64,329</w:t>
            </w:r>
          </w:p>
        </w:tc>
        <w:tc>
          <w:tcPr>
            <w:tcW w:w="120" w:type="dxa"/>
            <w:vAlign w:val="bottom"/>
          </w:tcPr>
          <w:p>
            <w:pPr>
              <w:spacing w:after="0"/>
              <w:rPr>
                <w:sz w:val="20"/>
                <w:szCs w:val="20"/>
                <w:color w:val="auto"/>
              </w:rPr>
            </w:pPr>
          </w:p>
        </w:tc>
        <w:tc>
          <w:tcPr>
            <w:tcW w:w="2680" w:type="dxa"/>
            <w:vAlign w:val="bottom"/>
            <w:tcBorders>
              <w:top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12,049,623</w:t>
            </w:r>
          </w:p>
        </w:tc>
      </w:tr>
      <w:tr>
        <w:trPr>
          <w:trHeight w:val="1431"/>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68"/>
        </w:trPr>
        <w:tc>
          <w:tcPr>
            <w:tcW w:w="28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7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6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6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64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CORVUS PHARMACEUTICALS,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12,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Leiv Lea</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Leiv Lea</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2026-06-12T15:03:14Z</dcterms:created>
  <dcterms:modified xsi:type="dcterms:W3CDTF">2026-06-12T15:03:14Z</dcterms:modified>
</cp:coreProperties>
</file>