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0"/>
        <w:ind w:left="0" w:right="0" w:hanging="0"/>
        <w:jc w:val="left"/>
        <w:rPr/>
      </w:pPr>
      <w:hyperlink w:anchor="TOC">
        <w:bookmarkStart w:id="0" w:name="crvs-20260331x10q.htm"/>
        <w:bookmarkStart w:id="1" w:name="kscrvs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142" w:before="0" w:after="0"/>
        <w:ind w:left="0" w:right="0" w:hanging="0"/>
        <w:jc w:val="right"/>
        <w:rPr>
          <w:rFonts w:ascii="Times New Roman;Times;serif" w:hAnsi="Times New Roman;Times;serif"/>
          <w:b/>
          <w:sz w:val="20"/>
        </w:rPr>
      </w:pPr>
      <w:bookmarkStart w:id="2" w:name="_5d7266bc_814a_4ed4_ae5f_cfc87c3f6ae6"/>
      <w:bookmarkEnd w:id="2"/>
      <w:r>
        <w:rPr>
          <w:rFonts w:ascii="Times New Roman;Times;serif" w:hAnsi="Times New Roman;Times;serif"/>
          <w:b/>
          <w:sz w:val="20"/>
        </w:rPr>
        <w:t>-</w:t>
      </w:r>
    </w:p>
    <w:p>
      <w:pPr>
        <w:pStyle w:val="TextBody"/>
        <w:pBdr>
          <w:top w:val="single" w:sz="24" w:space="1" w:color="000000"/>
          <w:bottom w:val="single" w:sz="2"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Normal"/>
        <w:bidi w:val="0"/>
        <w:spacing w:before="0" w:after="0"/>
        <w:jc w:val="left"/>
        <w:rPr>
          <w:sz w:val="4"/>
          <w:szCs w:val="4"/>
        </w:rPr>
      </w:pPr>
      <w:r>
        <w:rPr>
          <w:sz w:val="4"/>
          <w:szCs w:val="4"/>
        </w:rPr>
      </w:r>
      <w:bookmarkStart w:id="3" w:name="Tc_Rj0n8j1Xg0uLsUoMM1dZKA_3_1"/>
      <w:bookmarkStart w:id="4" w:name="Tc_P-dZd9FQukSuRZlvIrIuUQ_2_0"/>
      <w:bookmarkStart w:id="5" w:name="_16605beb_3c72_423d_b009_c97d1323ab9d"/>
      <w:bookmarkStart w:id="6" w:name="Tc_Rj0n8j1Xg0uLsUoMM1dZKA_3_1"/>
      <w:bookmarkStart w:id="7" w:name="Tc_P-dZd9FQukSuRZlvIrIuUQ_2_0"/>
      <w:bookmarkStart w:id="8" w:name="_16605beb_3c72_423d_b009_c97d1323ab9d"/>
      <w:bookmarkEnd w:id="6"/>
      <w:bookmarkEnd w:id="7"/>
      <w:bookmarkEnd w:id="8"/>
    </w:p>
    <w:tbl>
      <w:tblPr>
        <w:tblW w:w="10205" w:type="dxa"/>
        <w:jc w:val="left"/>
        <w:tblInd w:w="0" w:type="dxa"/>
        <w:tblLayout w:type="fixed"/>
        <w:tblCellMar>
          <w:top w:w="0" w:type="dxa"/>
          <w:left w:w="0" w:type="dxa"/>
          <w:bottom w:w="0" w:type="dxa"/>
          <w:right w:w="0" w:type="dxa"/>
        </w:tblCellMar>
      </w:tblPr>
      <w:tblGrid>
        <w:gridCol w:w="972"/>
        <w:gridCol w:w="9233"/>
      </w:tblGrid>
      <w:tr>
        <w:trPr/>
        <w:tc>
          <w:tcPr>
            <w:tcW w:w="972" w:type="dxa"/>
            <w:tcBorders/>
            <w:vAlign w:val="center"/>
          </w:tcPr>
          <w:p>
            <w:pPr>
              <w:pStyle w:val="TableContents"/>
              <w:bidi w:val="0"/>
              <w:spacing w:before="0" w:after="283"/>
              <w:ind w:left="0" w:right="0" w:hanging="0"/>
              <w:jc w:val="left"/>
              <w:rPr>
                <w:sz w:val="4"/>
                <w:szCs w:val="4"/>
              </w:rPr>
            </w:pPr>
            <w:r>
              <w:rPr>
                <w:sz w:val="4"/>
                <w:szCs w:val="4"/>
              </w:rPr>
            </w:r>
          </w:p>
        </w:tc>
        <w:tc>
          <w:tcPr>
            <w:tcW w:w="9233" w:type="dxa"/>
            <w:tcBorders/>
            <w:vAlign w:val="center"/>
          </w:tcPr>
          <w:p>
            <w:pPr>
              <w:pStyle w:val="TableContents"/>
              <w:bidi w:val="0"/>
              <w:spacing w:before="0" w:after="283"/>
              <w:ind w:left="0" w:right="0" w:hanging="0"/>
              <w:jc w:val="left"/>
              <w:rPr>
                <w:sz w:val="4"/>
                <w:szCs w:val="4"/>
              </w:rPr>
            </w:pPr>
            <w:r>
              <w:rPr>
                <w:sz w:val="4"/>
                <w:szCs w:val="4"/>
              </w:rPr>
            </w:r>
          </w:p>
        </w:tc>
      </w:tr>
      <w:tr>
        <w:trPr/>
        <w:tc>
          <w:tcPr>
            <w:tcW w:w="972" w:type="dxa"/>
            <w:tcBorders/>
            <w:vAlign w:val="center"/>
          </w:tcPr>
          <w:p>
            <w:pPr>
              <w:pStyle w:val="TableContents"/>
              <w:bidi w:val="0"/>
              <w:spacing w:before="0" w:after="283"/>
              <w:ind w:left="0" w:right="0" w:hanging="0"/>
              <w:jc w:val="left"/>
              <w:rPr>
                <w:sz w:val="4"/>
                <w:szCs w:val="4"/>
              </w:rPr>
            </w:pPr>
            <w:r>
              <w:rPr>
                <w:sz w:val="4"/>
                <w:szCs w:val="4"/>
              </w:rPr>
            </w:r>
          </w:p>
        </w:tc>
        <w:tc>
          <w:tcPr>
            <w:tcW w:w="9233" w:type="dxa"/>
            <w:tcBorders/>
            <w:vAlign w:val="center"/>
          </w:tcPr>
          <w:p>
            <w:pPr>
              <w:pStyle w:val="TableContents"/>
              <w:bidi w:val="0"/>
              <w:spacing w:before="0" w:after="283"/>
              <w:ind w:left="0" w:right="0" w:hanging="0"/>
              <w:jc w:val="left"/>
              <w:rPr>
                <w:sz w:val="4"/>
                <w:szCs w:val="4"/>
              </w:rPr>
            </w:pPr>
            <w:r>
              <w:rPr>
                <w:sz w:val="4"/>
                <w:szCs w:val="4"/>
              </w:rPr>
            </w:r>
          </w:p>
        </w:tc>
      </w:tr>
      <w:tr>
        <w:trPr/>
        <w:tc>
          <w:tcPr>
            <w:tcW w:w="972"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tc>
        <w:tc>
          <w:tcPr>
            <w:tcW w:w="9233" w:type="dxa"/>
            <w:tcBorders/>
            <w:vAlign w:val="center"/>
          </w:tcPr>
          <w:p>
            <w:pPr>
              <w:pStyle w:val="TableContents"/>
              <w:bidi w:val="0"/>
              <w:spacing w:lineRule="auto" w:line="285" w:before="0" w:after="0"/>
              <w:ind w:left="0" w:right="0" w:hanging="0"/>
              <w:jc w:val="left"/>
              <w:rPr/>
            </w:pPr>
            <w:r>
              <w:rPr/>
              <w:t>​</w:t>
            </w:r>
          </w:p>
        </w:tc>
      </w:tr>
      <w:tr>
        <w:trPr/>
        <w:tc>
          <w:tcPr>
            <w:tcW w:w="972" w:type="dxa"/>
            <w:tcBorders/>
            <w:vAlign w:val="center"/>
          </w:tcPr>
          <w:p>
            <w:pPr>
              <w:pStyle w:val="TableContents"/>
              <w:bidi w:val="0"/>
              <w:spacing w:lineRule="auto" w:line="285" w:before="0" w:after="0"/>
              <w:ind w:left="0" w:right="0" w:hanging="0"/>
              <w:jc w:val="center"/>
              <w:rPr/>
            </w:pPr>
            <w:r>
              <w:rPr/>
              <w:t>☒</w:t>
            </w:r>
          </w:p>
        </w:tc>
        <w:tc>
          <w:tcPr>
            <w:tcW w:w="9233"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2026</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Normal"/>
        <w:bidi w:val="0"/>
        <w:spacing w:before="0" w:after="0"/>
        <w:jc w:val="left"/>
        <w:rPr>
          <w:sz w:val="4"/>
          <w:szCs w:val="4"/>
        </w:rPr>
      </w:pPr>
      <w:r>
        <w:rPr>
          <w:sz w:val="4"/>
          <w:szCs w:val="4"/>
        </w:rPr>
      </w:r>
      <w:bookmarkStart w:id="9" w:name="Tc_1XM-CcFRN0-SFyJMI3hnHw_1_1"/>
      <w:bookmarkStart w:id="10" w:name="_d463563d_0e7c_4972_a1a3_960078333963"/>
      <w:bookmarkStart w:id="11" w:name="Tc_1XM-CcFRN0-SFyJMI3hnHw_1_1"/>
      <w:bookmarkStart w:id="12" w:name="_d463563d_0e7c_4972_a1a3_960078333963"/>
      <w:bookmarkEnd w:id="11"/>
      <w:bookmarkEnd w:id="12"/>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lineRule="auto" w:line="285" w:before="0" w:after="140"/>
              <w:ind w:left="0" w:right="0" w:hanging="0"/>
              <w:jc w:val="center"/>
              <w:rPr/>
            </w:pPr>
            <w:r>
              <w:rPr/>
              <w:t>☐</w:t>
            </w:r>
          </w:p>
        </w:tc>
        <w:tc>
          <w:tcPr>
            <w:tcW w:w="9874" w:type="dxa"/>
            <w:tcBorders/>
            <w:vAlign w:val="center"/>
          </w:tcPr>
          <w:p>
            <w:pPr>
              <w:pStyle w:val="TableContents"/>
              <w:bidi w:val="0"/>
              <w:spacing w:lineRule="auto" w:line="285" w:before="0" w:after="140"/>
              <w:ind w:left="0" w:right="0" w:hanging="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001-37719</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Corvus Pharmaceuticals, Inc.</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Normal"/>
        <w:bidi w:val="0"/>
        <w:spacing w:before="0" w:after="0"/>
        <w:jc w:val="left"/>
        <w:rPr>
          <w:sz w:val="4"/>
          <w:szCs w:val="4"/>
        </w:rPr>
      </w:pPr>
      <w:r>
        <w:rPr>
          <w:sz w:val="4"/>
          <w:szCs w:val="4"/>
        </w:rPr>
      </w:r>
      <w:bookmarkStart w:id="13" w:name="Tc_LG-pjYBhH0iedjWOSmcudw_2_2"/>
      <w:bookmarkStart w:id="14" w:name="Tc_mL58cTtfwEafqXBvmZ9uqg_2_0"/>
      <w:bookmarkStart w:id="15" w:name="_6de74f18_6174_4703_9cdb_b2c853f8b983"/>
      <w:bookmarkStart w:id="16" w:name="Tc_LG-pjYBhH0iedjWOSmcudw_2_2"/>
      <w:bookmarkStart w:id="17" w:name="Tc_mL58cTtfwEafqXBvmZ9uqg_2_0"/>
      <w:bookmarkStart w:id="18" w:name="_6de74f18_6174_4703_9cdb_b2c853f8b983"/>
      <w:bookmarkEnd w:id="16"/>
      <w:bookmarkEnd w:id="17"/>
      <w:bookmarkEnd w:id="18"/>
    </w:p>
    <w:tbl>
      <w:tblPr>
        <w:tblW w:w="4551" w:type="dxa"/>
        <w:jc w:val="left"/>
        <w:tblInd w:w="0" w:type="dxa"/>
        <w:tblLayout w:type="fixed"/>
        <w:tblCellMar>
          <w:top w:w="0" w:type="dxa"/>
          <w:left w:w="0" w:type="dxa"/>
          <w:bottom w:w="0" w:type="dxa"/>
          <w:right w:w="0" w:type="dxa"/>
        </w:tblCellMar>
      </w:tblPr>
      <w:tblGrid>
        <w:gridCol w:w="2791"/>
        <w:gridCol w:w="109"/>
        <w:gridCol w:w="165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72285" cy="29210"/>
                      <wp:effectExtent l="0" t="0" r="0" b="0"/>
                      <wp:wrapNone/>
                      <wp:docPr id="1" name="Frame1"/>
                      <a:graphic xmlns:a="http://schemas.openxmlformats.org/drawingml/2006/main">
                        <a:graphicData uri="http://schemas.microsoft.com/office/word/2010/wordprocessingShape">
                          <wps:wsp>
                            <wps:cNvSpPr txBox="1"/>
                            <wps:spPr>
                              <a:xfrm>
                                <a:off x="0" y="0"/>
                                <a:ext cx="1772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29210"/>
                      <wp:effectExtent l="0" t="0" r="0" b="0"/>
                      <wp:wrapNone/>
                      <wp:docPr id="2" name="Frame2"/>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048385" cy="29210"/>
                      <wp:effectExtent l="0" t="0" r="0" b="0"/>
                      <wp:wrapNone/>
                      <wp:docPr id="3" name="Frame3"/>
                      <a:graphic xmlns:a="http://schemas.openxmlformats.org/drawingml/2006/main">
                        <a:graphicData uri="http://schemas.microsoft.com/office/word/2010/wordprocessingShape">
                          <wps:wsp>
                            <wps:cNvSpPr txBox="1"/>
                            <wps:spPr>
                              <a:xfrm>
                                <a:off x="0" y="0"/>
                                <a:ext cx="1048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9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46-4670809</w:t>
            </w:r>
          </w:p>
        </w:tc>
      </w:tr>
      <w:tr>
        <w:trPr/>
        <w:tc>
          <w:tcPr>
            <w:tcW w:w="27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(State or other jurisdiction </w:t>
            </w:r>
          </w:p>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of incorporation or organization)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19" w:name="Tc_MT_bDoHxwkClHFbHBxrtJw_2_1"/>
      <w:bookmarkStart w:id="20" w:name="Tc_EEW-Cecu7EuPWjkZh6ynxg_2_0"/>
      <w:bookmarkStart w:id="21" w:name="Tc_dSVeUvo2WUWtiuOPYWJoYA_1_0"/>
      <w:bookmarkStart w:id="22" w:name="_2bcf8bbe_d280_41cd_81ee_10d88bbe6625"/>
      <w:bookmarkStart w:id="23" w:name="Tc_MT_bDoHxwkClHFbHBxrtJw_2_1"/>
      <w:bookmarkStart w:id="24" w:name="Tc_EEW-Cecu7EuPWjkZh6ynxg_2_0"/>
      <w:bookmarkStart w:id="25" w:name="Tc_dSVeUvo2WUWtiuOPYWJoYA_1_0"/>
      <w:bookmarkStart w:id="26" w:name="_2bcf8bbe_d280_41cd_81ee_10d88bbe6625"/>
      <w:bookmarkEnd w:id="23"/>
      <w:bookmarkEnd w:id="24"/>
      <w:bookmarkEnd w:id="25"/>
      <w:bookmarkEnd w:id="26"/>
    </w:p>
    <w:tbl>
      <w:tblPr>
        <w:tblW w:w="4292" w:type="dxa"/>
        <w:jc w:val="left"/>
        <w:tblInd w:w="0" w:type="dxa"/>
        <w:tblLayout w:type="fixed"/>
        <w:tblCellMar>
          <w:top w:w="0" w:type="dxa"/>
          <w:left w:w="0" w:type="dxa"/>
          <w:bottom w:w="0" w:type="dxa"/>
          <w:right w:w="0" w:type="dxa"/>
        </w:tblCellMar>
      </w:tblPr>
      <w:tblGrid>
        <w:gridCol w:w="3301"/>
        <w:gridCol w:w="99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96135" cy="591820"/>
                      <wp:effectExtent l="0" t="0" r="0" b="0"/>
                      <wp:wrapNone/>
                      <wp:docPr id="4" name="Frame4"/>
                      <a:graphic xmlns:a="http://schemas.openxmlformats.org/drawingml/2006/main">
                        <a:graphicData uri="http://schemas.microsoft.com/office/word/2010/wordprocessingShape">
                          <wps:wsp>
                            <wps:cNvSpPr txBox="1"/>
                            <wps:spPr>
                              <a:xfrm>
                                <a:off x="0" y="0"/>
                                <a:ext cx="2096135" cy="591820"/>
                              </a:xfrm>
                              <a:prstGeom prst="rect"/>
                              <a:solidFill>
                                <a:srgbClr val="FFFFFF"/>
                              </a:solidFill>
                            </wps:spPr>
                            <wps:txbx>
                              <w:txbxContent>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4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29285" cy="29210"/>
                      <wp:effectExtent l="0" t="0" r="0" b="0"/>
                      <wp:wrapNone/>
                      <wp:docPr id="5" name="Frame5"/>
                      <a:graphic xmlns:a="http://schemas.openxmlformats.org/drawingml/2006/main">
                        <a:graphicData uri="http://schemas.microsoft.com/office/word/2010/wordprocessingShape">
                          <wps:wsp>
                            <wps:cNvSpPr txBox="1"/>
                            <wps:spPr>
                              <a:xfrm>
                                <a:off x="0" y="0"/>
                                <a:ext cx="629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901 Gateway Boulevard, Third Floor</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South San Francisco, CA</w:t>
            </w:r>
          </w:p>
        </w:tc>
        <w:tc>
          <w:tcPr>
            <w:tcW w:w="99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94080</w: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(650) 900-4520</w:t>
      </w:r>
    </w:p>
    <w:p>
      <w:pPr>
        <w:pStyle w:val="TextBody"/>
        <w:bidi w:val="0"/>
        <w:spacing w:lineRule="auto" w:line="285" w:before="0" w:after="12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 N/A</w:t>
      </w:r>
    </w:p>
    <w:p>
      <w:pPr>
        <w:pStyle w:val="TextBody"/>
        <w:bidi w:val="0"/>
        <w:spacing w:lineRule="auto" w:line="285" w:before="0" w:after="14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7" w:name="Tc_W9lY540IX0iplwrChNVYWA_1_2"/>
      <w:bookmarkStart w:id="28" w:name="Tc_0NB49usjfkGnaV74xJ16CA_1_1"/>
      <w:bookmarkStart w:id="29" w:name="Tc_uzghnbE82ki3rpKN19x9hg_1_0"/>
      <w:bookmarkStart w:id="30" w:name="_142fd533_b305_4ece_a9e7_3937e6be35c3"/>
      <w:bookmarkStart w:id="31" w:name="Tc_W9lY540IX0iplwrChNVYWA_1_2"/>
      <w:bookmarkStart w:id="32" w:name="Tc_0NB49usjfkGnaV74xJ16CA_1_1"/>
      <w:bookmarkStart w:id="33" w:name="Tc_uzghnbE82ki3rpKN19x9hg_1_0"/>
      <w:bookmarkStart w:id="34" w:name="_142fd533_b305_4ece_a9e7_3937e6be35c3"/>
      <w:bookmarkEnd w:id="31"/>
      <w:bookmarkEnd w:id="32"/>
      <w:bookmarkEnd w:id="33"/>
      <w:bookmarkEnd w:id="34"/>
    </w:p>
    <w:tbl>
      <w:tblPr>
        <w:tblW w:w="9033" w:type="dxa"/>
        <w:jc w:val="left"/>
        <w:tblInd w:w="0" w:type="dxa"/>
        <w:tblLayout w:type="fixed"/>
        <w:tblCellMar>
          <w:top w:w="0" w:type="dxa"/>
          <w:left w:w="0" w:type="dxa"/>
          <w:bottom w:w="29" w:type="dxa"/>
          <w:right w:w="0" w:type="dxa"/>
        </w:tblCellMar>
      </w:tblPr>
      <w:tblGrid>
        <w:gridCol w:w="3736"/>
        <w:gridCol w:w="1591"/>
        <w:gridCol w:w="3706"/>
      </w:tblGrid>
      <w:tr>
        <w:trPr/>
        <w:tc>
          <w:tcPr>
            <w:tcW w:w="3736" w:type="dxa"/>
            <w:tcBorders>
              <w:bottom w:val="single" w:sz="2" w:space="0" w:color="000000"/>
            </w:tcBorders>
            <w:vAlign w:val="center"/>
          </w:tcPr>
          <w:p>
            <w:pPr>
              <w:pStyle w:val="TableContents"/>
              <w:bidi w:val="0"/>
              <w:spacing w:lineRule="auto" w:line="285" w:before="0" w:after="0"/>
              <w:ind w:left="0" w:right="0" w:hanging="0"/>
              <w:jc w:val="left"/>
              <w:rPr/>
            </w:pPr>
            <w:r>
              <w:rPr/>
              <w:t>​</w:t>
            </w:r>
          </w:p>
        </w:tc>
        <w:tc>
          <w:tcPr>
            <w:tcW w:w="1591" w:type="dxa"/>
            <w:tcBorders>
              <w:bottom w:val="single" w:sz="2" w:space="0" w:color="000000"/>
            </w:tcBorders>
            <w:vAlign w:val="center"/>
          </w:tcPr>
          <w:p>
            <w:pPr>
              <w:pStyle w:val="TableContents"/>
              <w:bidi w:val="0"/>
              <w:spacing w:lineRule="auto" w:line="285" w:before="0" w:after="0"/>
              <w:ind w:left="0" w:right="0" w:hanging="0"/>
              <w:jc w:val="left"/>
              <w:rPr/>
            </w:pPr>
            <w:r>
              <w:rPr/>
              <w:t>​</w:t>
            </w:r>
          </w:p>
        </w:tc>
        <w:tc>
          <w:tcPr>
            <w:tcW w:w="3706" w:type="dxa"/>
            <w:tcBorders>
              <w:bottom w:val="single" w:sz="2" w:space="0" w:color="000000"/>
            </w:tcBorders>
            <w:vAlign w:val="center"/>
          </w:tcPr>
          <w:p>
            <w:pPr>
              <w:pStyle w:val="TableContents"/>
              <w:bidi w:val="0"/>
              <w:spacing w:lineRule="auto" w:line="285" w:before="0" w:after="0"/>
              <w:ind w:left="0" w:right="0" w:hanging="0"/>
              <w:jc w:val="left"/>
              <w:rPr/>
            </w:pPr>
            <w:r>
              <w:rPr/>
              <w:t>​</w:t>
            </w:r>
          </w:p>
        </w:tc>
      </w:tr>
      <w:tr>
        <w:trPr/>
        <w:tc>
          <w:tcPr>
            <w:tcW w:w="3736"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91"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736"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1591"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CRVS</w:t>
            </w:r>
          </w:p>
        </w:tc>
        <w:tc>
          <w:tcPr>
            <w:tcW w:w="3706"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lineRule="auto" w:line="285" w:before="0" w:after="0"/>
        <w:ind w:left="0" w:right="0" w:hanging="0"/>
        <w:jc w:val="left"/>
        <w:rPr/>
      </w:pPr>
      <w:r>
        <w:rPr/>
        <w:t>​</w:t>
      </w:r>
    </w:p>
    <w:p>
      <w:pPr>
        <w:pStyle w:val="TextBody"/>
        <w:bidi w:val="0"/>
        <w:spacing w:lineRule="auto" w:line="285" w:before="0" w:after="1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5" w:before="0" w:after="8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32" w:type="dxa"/>
        <w:jc w:val="left"/>
        <w:tblInd w:w="0" w:type="dxa"/>
        <w:tblLayout w:type="fixed"/>
        <w:tblCellMar>
          <w:top w:w="0" w:type="dxa"/>
          <w:left w:w="0" w:type="dxa"/>
          <w:bottom w:w="0" w:type="dxa"/>
          <w:right w:w="0" w:type="dxa"/>
        </w:tblCellMar>
      </w:tblPr>
      <w:tblGrid>
        <w:gridCol w:w="2551"/>
        <w:gridCol w:w="258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619885" cy="29210"/>
                      <wp:effectExtent l="0" t="0" r="0" b="0"/>
                      <wp:wrapNone/>
                      <wp:docPr id="6" name="Frame6"/>
                      <a:graphic xmlns:a="http://schemas.openxmlformats.org/drawingml/2006/main">
                        <a:graphicData uri="http://schemas.microsoft.com/office/word/2010/wordprocessingShape">
                          <wps:wsp>
                            <wps:cNvSpPr txBox="1"/>
                            <wps:spPr>
                              <a:xfrm>
                                <a:off x="0" y="0"/>
                                <a:ext cx="1619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638935" cy="29210"/>
                      <wp:effectExtent l="0" t="0" r="0" b="0"/>
                      <wp:wrapNone/>
                      <wp:docPr id="7" name="Frame7"/>
                      <a:graphic xmlns:a="http://schemas.openxmlformats.org/drawingml/2006/main">
                        <a:graphicData uri="http://schemas.microsoft.com/office/word/2010/wordprocessingShape">
                          <wps:wsp>
                            <wps:cNvSpPr txBox="1"/>
                            <wps:spPr>
                              <a:xfrm>
                                <a:off x="0" y="0"/>
                                <a:ext cx="1638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551" w:type="dxa"/>
            <w:tcBorders/>
            <w:vAlign w:val="center"/>
          </w:tcPr>
          <w:p>
            <w:pPr>
              <w:pStyle w:val="TableContents"/>
              <w:pBdr/>
              <w:bidi w:val="0"/>
              <w:spacing w:lineRule="auto" w:line="285" w:before="0" w:after="14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lineRule="auto" w:line="285" w:before="0" w:after="8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551" w:type="dxa"/>
            <w:tcBorders/>
            <w:vAlign w:val="center"/>
          </w:tcPr>
          <w:p>
            <w:pPr>
              <w:pStyle w:val="TableContents"/>
              <w:pBdr/>
              <w:bidi w:val="0"/>
              <w:spacing w:lineRule="auto" w:line="285" w:before="0" w:after="14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lineRule="auto" w:line="285" w:before="0" w:after="14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551" w:type="dxa"/>
            <w:tcBorders/>
            <w:vAlign w:val="center"/>
          </w:tcPr>
          <w:p>
            <w:pPr>
              <w:pStyle w:val="TableContents"/>
              <w:pBdr/>
              <w:bidi w:val="0"/>
              <w:spacing w:lineRule="auto" w:line="285" w:before="0" w:after="8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c>
          <w:tcPr>
            <w:tcW w:w="2581" w:type="dxa"/>
            <w:tcBorders/>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8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8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lineRule="auto" w:line="285" w:before="0" w:after="60"/>
        <w:ind w:left="0" w:right="0" w:hanging="0"/>
        <w:jc w:val="left"/>
        <w:rPr>
          <w:rFonts w:ascii="Times New Roman;Times;serif" w:hAnsi="Times New Roman;Times;serif"/>
          <w:sz w:val="20"/>
        </w:rPr>
      </w:pPr>
      <w:r>
        <w:rPr>
          <w:rFonts w:ascii="Times New Roman;Times;serif" w:hAnsi="Times New Roman;Times;serif"/>
          <w:sz w:val="20"/>
        </w:rPr>
        <w:t>As of May 7, 2026, 84,090,424 shares of the registrant’s common stock, $0.0001 par value per share, were outstanding.</w:t>
      </w:r>
    </w:p>
    <w:p>
      <w:pPr>
        <w:pStyle w:val="TextBody"/>
        <w:pBdr>
          <w:top w:val="single" w:sz="2" w:space="1" w:color="000000"/>
          <w:bottom w:val="single" w:sz="24" w:space="1" w:color="000000"/>
        </w:pBdr>
        <w:bidi w:val="0"/>
        <w:spacing w:lineRule="auto" w:line="285" w:before="0" w:after="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35" w:name="_49bb7662_3760_4305_98fc_4764d6c01282"/>
      <w:bookmarkEnd w:id="35"/>
      <w:r>
        <w:rPr>
          <w:rFonts w:ascii="Times New Roman;Times;serif" w:hAnsi="Times New Roman;Times;serif"/>
          <w:b/>
          <w:sz w:val="20"/>
        </w:rPr>
        <w:t>CORVUS PHARMACEUTICALS, INC.</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QUARTERLY REPORT ON FORM 10-Q FOR THE QUARTER ENDED MARCH 31, 2026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36" w:name="TOC"/>
      <w:bookmarkEnd w:id="36"/>
      <w:r>
        <w:rPr>
          <w:rFonts w:ascii="Times New Roman;Times;serif" w:hAnsi="Times New Roman;Times;serif"/>
          <w:b/>
          <w:sz w:val="20"/>
        </w:rPr>
        <w:t>TABLE OF CONTENTS</w:t>
      </w:r>
    </w:p>
    <w:p>
      <w:pPr>
        <w:pStyle w:val="TextBody"/>
        <w:bidi w:val="0"/>
        <w:spacing w:lineRule="auto" w:line="285" w:before="0" w:after="0"/>
        <w:ind w:left="0" w:right="0" w:hanging="0"/>
        <w:jc w:val="center"/>
        <w:rPr/>
      </w:pPr>
      <w:r>
        <w:rPr/>
        <w:t>​</w:t>
      </w:r>
    </w:p>
    <w:tbl>
      <w:tblPr>
        <w:tblW w:w="8884" w:type="dxa"/>
        <w:jc w:val="left"/>
        <w:tblInd w:w="0" w:type="dxa"/>
        <w:tblLayout w:type="fixed"/>
        <w:tblCellMar>
          <w:top w:w="0" w:type="dxa"/>
          <w:left w:w="0" w:type="dxa"/>
          <w:bottom w:w="0" w:type="dxa"/>
          <w:right w:w="0" w:type="dxa"/>
        </w:tblCellMar>
      </w:tblPr>
      <w:tblGrid>
        <w:gridCol w:w="811"/>
        <w:gridCol w:w="346"/>
        <w:gridCol w:w="7366"/>
        <w:gridCol w:w="361"/>
      </w:tblGrid>
      <w:tr>
        <w:trPr/>
        <w:tc>
          <w:tcPr>
            <w:tcW w:w="8884" w:type="dxa"/>
            <w:gridSpan w:val="4"/>
            <w:tcBorders/>
            <w:vAlign w:val="center"/>
          </w:tcPr>
          <w:p>
            <w:pPr>
              <w:pStyle w:val="TableContents"/>
              <w:bidi w:val="0"/>
              <w:spacing w:lineRule="auto" w:line="285" w:before="0" w:after="0"/>
              <w:ind w:left="0" w:right="0" w:hanging="0"/>
              <w:jc w:val="center"/>
              <w:rPr/>
            </w:pPr>
            <w:hyperlink w:anchor="PARTIFINANCIALINFORMATION_671322">
              <w:r>
                <w:rPr>
                  <w:rStyle w:val="InternetLink"/>
                  <w:rFonts w:ascii="Times New Roman;Times;serif" w:hAnsi="Times New Roman;Times;serif"/>
                  <w:b/>
                  <w:i w:val="false"/>
                  <w:caps w:val="false"/>
                  <w:smallCaps w:val="false"/>
                  <w:sz w:val="20"/>
                </w:rPr>
                <w:t>PART I — FINANCIAL INFORMATION</w:t>
              </w:r>
            </w:hyperlink>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811" w:type="dxa"/>
            <w:tcBorders/>
            <w:vAlign w:val="center"/>
          </w:tcPr>
          <w:p>
            <w:pPr>
              <w:pStyle w:val="TableContents"/>
              <w:bidi w:val="0"/>
              <w:spacing w:lineRule="auto" w:line="285" w:before="0" w:after="0"/>
              <w:ind w:left="0" w:right="0" w:hanging="0"/>
              <w:jc w:val="left"/>
              <w:rPr/>
            </w:pPr>
            <w:hyperlink w:anchor="Item1UnauditedCondensedFinancialStatemen">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lineRule="auto" w:line="285" w:before="0" w:after="0"/>
              <w:ind w:left="0" w:right="0" w:hanging="0"/>
              <w:jc w:val="left"/>
              <w:rPr/>
            </w:pPr>
            <w:r>
              <w:rPr/>
              <w:t>  ​ ​ ​</w:t>
            </w:r>
          </w:p>
        </w:tc>
        <w:tc>
          <w:tcPr>
            <w:tcW w:w="7366" w:type="dxa"/>
            <w:tcBorders/>
            <w:vAlign w:val="center"/>
          </w:tcPr>
          <w:p>
            <w:pPr>
              <w:pStyle w:val="TableContents"/>
              <w:bidi w:val="0"/>
              <w:spacing w:lineRule="auto" w:line="285" w:before="0" w:after="0"/>
              <w:ind w:left="0" w:right="0" w:hanging="0"/>
              <w:jc w:val="left"/>
              <w:rPr/>
            </w:pPr>
            <w:hyperlink w:anchor="Item1UnauditedCondensedFinancialStatemen">
              <w:r>
                <w:rPr>
                  <w:rStyle w:val="InternetLink"/>
                  <w:rFonts w:ascii="Times New Roman;Times;serif" w:hAnsi="Times New Roman;Times;serif"/>
                  <w:b w:val="false"/>
                  <w:i w:val="false"/>
                  <w:caps w:val="false"/>
                  <w:smallCaps w:val="false"/>
                  <w:sz w:val="20"/>
                </w:rPr>
                <w:t>Financial Statements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CONDENSEDCONSOLIDATEDBALANCESHEETS_89276">
              <w:r>
                <w:rPr>
                  <w:rStyle w:val="InternetLink"/>
                  <w:rFonts w:ascii="Times New Roman;Times;serif" w:hAnsi="Times New Roman;Times;serif"/>
                  <w:b w:val="false"/>
                  <w:i w:val="false"/>
                  <w:caps w:val="false"/>
                  <w:smallCaps w:val="false"/>
                  <w:sz w:val="20"/>
                </w:rPr>
                <w:t>Condensed Consolidated Balance Sheets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STOCKHOLDERSEQUITY_96157">
              <w:r>
                <w:rPr>
                  <w:rStyle w:val="InternetLink"/>
                  <w:rFonts w:ascii="Times New Roman;Times;serif" w:hAnsi="Times New Roman;Times;serif"/>
                  <w:b w:val="false"/>
                  <w:i w:val="false"/>
                  <w:caps w:val="false"/>
                  <w:smallCaps w:val="false"/>
                  <w:sz w:val="20"/>
                </w:rPr>
                <w:t>Condensed Consolidated Statements of Changes in Stockholders’ Equity</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STATEMENTSOFCASHFLOWS_192557">
              <w:r>
                <w:rPr>
                  <w:rStyle w:val="InternetLink"/>
                  <w:rFonts w:ascii="Times New Roman;Times;serif" w:hAnsi="Times New Roman;Times;serif"/>
                  <w:b w:val="false"/>
                  <w:i w:val="false"/>
                  <w:caps w:val="false"/>
                  <w:smallCaps w:val="false"/>
                  <w:sz w:val="20"/>
                </w:rPr>
                <w:t>Condensed Consolidated Statements of Cash Flows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lineRule="auto" w:line="285"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11" w:type="dxa"/>
            <w:tcBorders/>
            <w:vAlign w:val="center"/>
          </w:tcPr>
          <w:p>
            <w:pPr>
              <w:pStyle w:val="TableContents"/>
              <w:bidi w:val="0"/>
              <w:spacing w:lineRule="auto" w:line="285"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lineRule="auto" w:line="285" w:before="0" w:after="0"/>
              <w:ind w:left="0" w:right="0" w:hanging="0"/>
              <w:jc w:val="left"/>
              <w:rPr/>
            </w:pPr>
            <w:hyperlink w:anchor="Item4ControlsandProcedures_996727">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4ControlsandProcedures_996727">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8884" w:type="dxa"/>
            <w:gridSpan w:val="4"/>
            <w:tcBorders/>
            <w:vAlign w:val="center"/>
          </w:tcPr>
          <w:p>
            <w:pPr>
              <w:pStyle w:val="TableContents"/>
              <w:bidi w:val="0"/>
              <w:spacing w:lineRule="auto" w:line="285" w:before="0" w:after="0"/>
              <w:ind w:left="0" w:right="0" w:hanging="0"/>
              <w:jc w:val="center"/>
              <w:rPr/>
            </w:pPr>
            <w:hyperlink w:anchor="PARTIIOTHERINFORMATION_177066">
              <w:r>
                <w:rPr>
                  <w:rStyle w:val="InternetLink"/>
                  <w:rFonts w:ascii="Times New Roman;Times;serif" w:hAnsi="Times New Roman;Times;serif"/>
                  <w:b/>
                  <w:i w:val="false"/>
                  <w:caps w:val="false"/>
                  <w:smallCaps w:val="false"/>
                  <w:sz w:val="20"/>
                </w:rPr>
                <w:t>PART II — OTHER INFORMATION</w:t>
              </w:r>
            </w:hyperlink>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811" w:type="dxa"/>
            <w:tcBorders/>
            <w:vAlign w:val="center"/>
          </w:tcPr>
          <w:p>
            <w:pPr>
              <w:pStyle w:val="TableContents"/>
              <w:bidi w:val="0"/>
              <w:spacing w:lineRule="auto" w:line="285" w:before="0" w:after="0"/>
              <w:ind w:left="0" w:right="0" w:hanging="0"/>
              <w:jc w:val="left"/>
              <w:rPr/>
            </w:pPr>
            <w:hyperlink w:anchor="Item1LegalProceedings_213471">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1LegalProceedings_213471">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lineRule="auto" w:line="285" w:before="0" w:after="0"/>
              <w:ind w:left="0" w:right="0" w:hanging="0"/>
              <w:jc w:val="left"/>
              <w:rPr/>
            </w:pPr>
            <w:hyperlink w:anchor="RiskFactors">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RiskFactors">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lineRule="auto" w:line="285"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811" w:type="dxa"/>
            <w:tcBorders/>
            <w:vAlign w:val="center"/>
          </w:tcPr>
          <w:p>
            <w:pPr>
              <w:pStyle w:val="TableContents"/>
              <w:bidi w:val="0"/>
              <w:spacing w:lineRule="auto" w:line="285" w:before="0" w:after="0"/>
              <w:ind w:left="0" w:right="0" w:hanging="0"/>
              <w:jc w:val="left"/>
              <w:rPr/>
            </w:pPr>
            <w:hyperlink w:anchor="Item3DefaultsUponSeniorSecurities_526790">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3DefaultsUponSeniorSecurities_526790">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811" w:type="dxa"/>
            <w:tcBorders/>
            <w:vAlign w:val="center"/>
          </w:tcPr>
          <w:p>
            <w:pPr>
              <w:pStyle w:val="TableContents"/>
              <w:bidi w:val="0"/>
              <w:spacing w:lineRule="auto" w:line="285" w:before="0" w:after="0"/>
              <w:ind w:left="0" w:right="0" w:hanging="0"/>
              <w:jc w:val="left"/>
              <w:rPr/>
            </w:pPr>
            <w:hyperlink w:anchor="Item4MineSafetyDisclosures_600075">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4MineSafetyDisclosures_600075">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811" w:type="dxa"/>
            <w:tcBorders/>
            <w:vAlign w:val="center"/>
          </w:tcPr>
          <w:p>
            <w:pPr>
              <w:pStyle w:val="TableContents"/>
              <w:bidi w:val="0"/>
              <w:spacing w:lineRule="auto" w:line="285" w:before="0" w:after="0"/>
              <w:ind w:left="0" w:right="0" w:hanging="0"/>
              <w:jc w:val="left"/>
              <w:rPr/>
            </w:pPr>
            <w:hyperlink w:anchor="Item5OtherInformation_876990">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5OtherInformation_876990">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811" w:type="dxa"/>
            <w:tcBorders/>
            <w:vAlign w:val="center"/>
          </w:tcPr>
          <w:p>
            <w:pPr>
              <w:pStyle w:val="TableContents"/>
              <w:bidi w:val="0"/>
              <w:spacing w:lineRule="auto" w:line="285" w:before="0" w:after="0"/>
              <w:ind w:left="0" w:right="0" w:hanging="0"/>
              <w:jc w:val="left"/>
              <w:rPr/>
            </w:pPr>
            <w:hyperlink w:anchor="Item6Exhibits_350365">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6Exhibits_350365">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8523" w:type="dxa"/>
            <w:gridSpan w:val="3"/>
            <w:tcBorders/>
            <w:vAlign w:val="center"/>
          </w:tcPr>
          <w:p>
            <w:pPr>
              <w:pStyle w:val="TableContents"/>
              <w:bidi w:val="0"/>
              <w:spacing w:lineRule="auto" w:line="285" w:before="0" w:after="0"/>
              <w:ind w:left="0" w:right="0" w:hanging="0"/>
              <w:jc w:val="left"/>
              <w:rPr/>
            </w:pPr>
            <w:hyperlink w:anchor="SIGNATURES_676454">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37" w:name="PARTIFINANCIALINFORMATION_671322"/>
      <w:bookmarkStart w:id="38" w:name="_8c130d4c_f641_4351_a5b9_31866e975f4e"/>
      <w:bookmarkEnd w:id="37"/>
      <w:bookmarkEnd w:id="38"/>
      <w:r>
        <w:rPr>
          <w:rFonts w:ascii="Times New Roman;Times;serif" w:hAnsi="Times New Roman;Times;serif"/>
          <w:b/>
          <w:sz w:val="20"/>
        </w:rPr>
        <w:t>PART I - FINANCIAL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39" w:name="Item1UnauditedCondensedFinancialStatemen"/>
      <w:bookmarkEnd w:id="39"/>
      <w:r>
        <w:rPr>
          <w:rFonts w:ascii="Times New Roman;Times;serif" w:hAnsi="Times New Roman;Times;serif"/>
          <w:b/>
          <w:sz w:val="20"/>
        </w:rPr>
        <w:t>Item 1.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CORVUS PHARMACEUTICALS, INC.</w:t>
      </w:r>
    </w:p>
    <w:p>
      <w:pPr>
        <w:pStyle w:val="TextBody"/>
        <w:bidi w:val="0"/>
        <w:spacing w:lineRule="auto" w:line="285" w:before="0" w:after="0"/>
        <w:ind w:left="0" w:right="0" w:hanging="0"/>
        <w:jc w:val="center"/>
        <w:rPr>
          <w:rFonts w:ascii="Times New Roman;Times;serif" w:hAnsi="Times New Roman;Times;serif"/>
          <w:b/>
          <w:sz w:val="20"/>
        </w:rPr>
      </w:pPr>
      <w:bookmarkStart w:id="40" w:name="CONDENSEDCONSOLIDATEDBALANCESHEETS_89276"/>
      <w:bookmarkEnd w:id="40"/>
      <w:r>
        <w:rPr>
          <w:rFonts w:ascii="Times New Roman;Times;serif" w:hAnsi="Times New Roman;Times;serif"/>
          <w:b/>
          <w:sz w:val="20"/>
        </w:rPr>
        <w:t>CONDENSED CONSOLIDATED BALANCE SHEETS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41" w:name="Tc_kLdvt2Uy7ECTQsxVdSa39A_32_5"/>
      <w:bookmarkStart w:id="42" w:name="Tc_qzlf81UJMU-GsPy9FZQyaQ_32_2"/>
      <w:bookmarkStart w:id="43" w:name="Tc_c3jLEnQFHEOm6ccNL9ZtLw_32_0"/>
      <w:bookmarkStart w:id="44" w:name="Tc_OeEKHXhoYUy1GpfUjpvk9Q_31_0"/>
      <w:bookmarkStart w:id="45" w:name="Tc_SXjF0cvJxE23veCB5LuKBw_30_0"/>
      <w:bookmarkStart w:id="46" w:name="Tc_VUKCMvsflUuHbP-Mkh2E-w_29_0"/>
      <w:bookmarkStart w:id="47" w:name="Tc_MgywU3qlo0i-pg-2Nu6p8w_28_0"/>
      <w:bookmarkStart w:id="48" w:name="Tc_9MFUgif9ok2pj_FAFGYVww_27_0"/>
      <w:bookmarkStart w:id="49" w:name="_b6af1b64_9988_4f38_bc02_ecb3e5cd6e7a_3"/>
      <w:bookmarkStart w:id="50" w:name="_b6af1b64_9988_4f38_bc02_ecb3e5cd6e7a_2"/>
      <w:bookmarkStart w:id="51" w:name="_b6af1b64_9988_4f38_bc02_ecb3e5cd6e7a"/>
      <w:bookmarkStart w:id="52" w:name="Tc_rjeCsQFf706PtGnDB0VfMw_26_0"/>
      <w:bookmarkStart w:id="53" w:name="Tc_HZ8uvbMH-Ey4rCJ0wtYvpA_25_0"/>
      <w:bookmarkStart w:id="54" w:name="Tc_J6cyGeFJ80Ww1R708JZUzw_24_0"/>
      <w:bookmarkStart w:id="55" w:name="Tc_WFlxw_9EAkWr3wvEouW2fA_23_0"/>
      <w:bookmarkStart w:id="56" w:name="Tc_3xQwUdHyGE-Vtw4LHahoUw_22_0"/>
      <w:bookmarkStart w:id="57" w:name="Tc_YjFJvX-MdkybNXc5PotScw_21_0"/>
      <w:bookmarkStart w:id="58" w:name="Tc_Q3YITbp_eEectkSUTZNL7g_20_0"/>
      <w:bookmarkStart w:id="59" w:name="Tc_D7wGNqbXIUWJ3b-TKGJiyw_19_0"/>
      <w:bookmarkStart w:id="60" w:name="Tc_an4scvnQ2Emo5Cf4KeYu3A_18_5"/>
      <w:bookmarkStart w:id="61" w:name="Tc_yYRg8F_4b0WYx8dH-aNzkw_18_2"/>
      <w:bookmarkStart w:id="62" w:name="Tc_wVB4lZpqyUm3eAlz45B_mA_18_0"/>
      <w:bookmarkStart w:id="63" w:name="Tc_z9zUK1GPeEaxpEEcjuMlLw_17_0"/>
      <w:bookmarkStart w:id="64" w:name="Tc_nCPR1Ezf906QnN73xsJrBQ_16_0"/>
      <w:bookmarkStart w:id="65" w:name="Tc_GvtgOjSqmUKuKh3hoNh3QQ_14_5"/>
      <w:bookmarkStart w:id="66" w:name="Tc_r3rYbNzKM0G_J5NK47K5Rg_14_2"/>
      <w:bookmarkStart w:id="67" w:name="Tc_jMDllSYDkEec68crEFkymg_14_0"/>
      <w:bookmarkStart w:id="68" w:name="Tc_5KE6LqA_8Ee2dauFJCMN5g_13_0"/>
      <w:bookmarkStart w:id="69" w:name="Tc_AJ6xwXSo5Eexx5RMDQZiig_12_0"/>
      <w:bookmarkStart w:id="70" w:name="Tc_8kA02PeeJ02Sn0qqpmD3tw_11_0"/>
      <w:bookmarkStart w:id="71" w:name="Tc_noAn2mkewUOgUUJ3VRuLXw_10_0"/>
      <w:bookmarkStart w:id="72" w:name="Tc_wddC6PLjLEekkVROUJwXsQ_9_0"/>
      <w:bookmarkStart w:id="73" w:name="Tc_aK05sYd3uEqVGhQyEuQKLQ_8_0"/>
      <w:bookmarkStart w:id="74" w:name="Tc_-6M_Uoi45Uy60UeULk-ZdQ_6_0"/>
      <w:bookmarkStart w:id="75" w:name="Tc_i9xJnKtnq0OY9lrsWBging_5_5"/>
      <w:bookmarkStart w:id="76" w:name="Tc_OmUtvWfJekaswL8xwsHjKQ_5_2"/>
      <w:bookmarkStart w:id="77" w:name="Tc_v-vyevtmgEiA0hheXMyjWA_5_0"/>
      <w:bookmarkStart w:id="78" w:name="Tc_mJ0yZLRcNE-6lfb7zYWoYg_4_0"/>
      <w:bookmarkStart w:id="79" w:name="Tc_bGdg3glyIUCeZv74JdH4hw_3_0"/>
      <w:bookmarkStart w:id="80" w:name="Tc_mX3wNrHAPESbyDKuIIMidg_2_5"/>
      <w:bookmarkStart w:id="81" w:name="Tc_lTE5ovlxukWI3SRxnA-BaA_2_2"/>
      <w:bookmarkStart w:id="82" w:name="Tc_b1VT1CL1XEGvE_VvXrjflg_1_5"/>
      <w:bookmarkStart w:id="83" w:name="Tc_2wMH3Jljt0SGNkIwU51X8g_1_2"/>
      <w:bookmarkStart w:id="84" w:name="_197d693c_8d6c_4e2b_a0ff_013e875fc05b"/>
      <w:bookmarkStart w:id="85" w:name="Tc_kLdvt2Uy7ECTQsxVdSa39A_32_5"/>
      <w:bookmarkStart w:id="86" w:name="Tc_qzlf81UJMU-GsPy9FZQyaQ_32_2"/>
      <w:bookmarkStart w:id="87" w:name="Tc_c3jLEnQFHEOm6ccNL9ZtLw_32_0"/>
      <w:bookmarkStart w:id="88" w:name="Tc_OeEKHXhoYUy1GpfUjpvk9Q_31_0"/>
      <w:bookmarkStart w:id="89" w:name="Tc_SXjF0cvJxE23veCB5LuKBw_30_0"/>
      <w:bookmarkStart w:id="90" w:name="Tc_VUKCMvsflUuHbP-Mkh2E-w_29_0"/>
      <w:bookmarkStart w:id="91" w:name="Tc_MgywU3qlo0i-pg-2Nu6p8w_28_0"/>
      <w:bookmarkStart w:id="92" w:name="Tc_9MFUgif9ok2pj_FAFGYVww_27_0"/>
      <w:bookmarkStart w:id="93" w:name="_b6af1b64_9988_4f38_bc02_ecb3e5cd6e7a_3"/>
      <w:bookmarkStart w:id="94" w:name="_b6af1b64_9988_4f38_bc02_ecb3e5cd6e7a_2"/>
      <w:bookmarkStart w:id="95" w:name="_b6af1b64_9988_4f38_bc02_ecb3e5cd6e7a"/>
      <w:bookmarkStart w:id="96" w:name="Tc_rjeCsQFf706PtGnDB0VfMw_26_0"/>
      <w:bookmarkStart w:id="97" w:name="Tc_HZ8uvbMH-Ey4rCJ0wtYvpA_25_0"/>
      <w:bookmarkStart w:id="98" w:name="Tc_J6cyGeFJ80Ww1R708JZUzw_24_0"/>
      <w:bookmarkStart w:id="99" w:name="Tc_WFlxw_9EAkWr3wvEouW2fA_23_0"/>
      <w:bookmarkStart w:id="100" w:name="Tc_3xQwUdHyGE-Vtw4LHahoUw_22_0"/>
      <w:bookmarkStart w:id="101" w:name="Tc_YjFJvX-MdkybNXc5PotScw_21_0"/>
      <w:bookmarkStart w:id="102" w:name="Tc_Q3YITbp_eEectkSUTZNL7g_20_0"/>
      <w:bookmarkStart w:id="103" w:name="Tc_D7wGNqbXIUWJ3b-TKGJiyw_19_0"/>
      <w:bookmarkStart w:id="104" w:name="Tc_an4scvnQ2Emo5Cf4KeYu3A_18_5"/>
      <w:bookmarkStart w:id="105" w:name="Tc_yYRg8F_4b0WYx8dH-aNzkw_18_2"/>
      <w:bookmarkStart w:id="106" w:name="Tc_wVB4lZpqyUm3eAlz45B_mA_18_0"/>
      <w:bookmarkStart w:id="107" w:name="Tc_z9zUK1GPeEaxpEEcjuMlLw_17_0"/>
      <w:bookmarkStart w:id="108" w:name="Tc_nCPR1Ezf906QnN73xsJrBQ_16_0"/>
      <w:bookmarkStart w:id="109" w:name="Tc_GvtgOjSqmUKuKh3hoNh3QQ_14_5"/>
      <w:bookmarkStart w:id="110" w:name="Tc_r3rYbNzKM0G_J5NK47K5Rg_14_2"/>
      <w:bookmarkStart w:id="111" w:name="Tc_jMDllSYDkEec68crEFkymg_14_0"/>
      <w:bookmarkStart w:id="112" w:name="Tc_5KE6LqA_8Ee2dauFJCMN5g_13_0"/>
      <w:bookmarkStart w:id="113" w:name="Tc_AJ6xwXSo5Eexx5RMDQZiig_12_0"/>
      <w:bookmarkStart w:id="114" w:name="Tc_8kA02PeeJ02Sn0qqpmD3tw_11_0"/>
      <w:bookmarkStart w:id="115" w:name="Tc_noAn2mkewUOgUUJ3VRuLXw_10_0"/>
      <w:bookmarkStart w:id="116" w:name="Tc_wddC6PLjLEekkVROUJwXsQ_9_0"/>
      <w:bookmarkStart w:id="117" w:name="Tc_aK05sYd3uEqVGhQyEuQKLQ_8_0"/>
      <w:bookmarkStart w:id="118" w:name="Tc_-6M_Uoi45Uy60UeULk-ZdQ_6_0"/>
      <w:bookmarkStart w:id="119" w:name="Tc_i9xJnKtnq0OY9lrsWBging_5_5"/>
      <w:bookmarkStart w:id="120" w:name="Tc_OmUtvWfJekaswL8xwsHjKQ_5_2"/>
      <w:bookmarkStart w:id="121" w:name="Tc_v-vyevtmgEiA0hheXMyjWA_5_0"/>
      <w:bookmarkStart w:id="122" w:name="Tc_mJ0yZLRcNE-6lfb7zYWoYg_4_0"/>
      <w:bookmarkStart w:id="123" w:name="Tc_bGdg3glyIUCeZv74JdH4hw_3_0"/>
      <w:bookmarkStart w:id="124" w:name="Tc_mX3wNrHAPESbyDKuIIMidg_2_5"/>
      <w:bookmarkStart w:id="125" w:name="Tc_lTE5ovlxukWI3SRxnA-BaA_2_2"/>
      <w:bookmarkStart w:id="126" w:name="Tc_b1VT1CL1XEGvE_VvXrjflg_1_5"/>
      <w:bookmarkStart w:id="127" w:name="Tc_2wMH3Jljt0SGNkIwU51X8g_1_2"/>
      <w:bookmarkStart w:id="128" w:name="_197d693c_8d6c_4e2b_a0ff_013e875fc05b"/>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tbl>
      <w:tblPr>
        <w:tblW w:w="10205" w:type="dxa"/>
        <w:jc w:val="left"/>
        <w:tblInd w:w="0" w:type="dxa"/>
        <w:tblLayout w:type="fixed"/>
        <w:tblCellMar>
          <w:top w:w="0" w:type="dxa"/>
          <w:left w:w="0" w:type="dxa"/>
          <w:bottom w:w="0" w:type="dxa"/>
          <w:right w:w="0" w:type="dxa"/>
        </w:tblCellMar>
      </w:tblPr>
      <w:tblGrid>
        <w:gridCol w:w="7314"/>
        <w:gridCol w:w="346"/>
        <w:gridCol w:w="211"/>
        <w:gridCol w:w="861"/>
        <w:gridCol w:w="346"/>
        <w:gridCol w:w="212"/>
        <w:gridCol w:w="915"/>
      </w:tblGrid>
      <w:tr>
        <w:trPr/>
        <w:tc>
          <w:tcPr>
            <w:tcW w:w="7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644390" cy="175260"/>
                      <wp:effectExtent l="0" t="0" r="0" b="0"/>
                      <wp:wrapNone/>
                      <wp:docPr id="8" name="Frame8"/>
                      <a:graphic xmlns:a="http://schemas.openxmlformats.org/drawingml/2006/main">
                        <a:graphicData uri="http://schemas.microsoft.com/office/word/2010/wordprocessingShape">
                          <wps:wsp>
                            <wps:cNvSpPr txBox="1"/>
                            <wps:spPr>
                              <a:xfrm>
                                <a:off x="0" y="0"/>
                                <a:ext cx="4644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46735" cy="175260"/>
                      <wp:effectExtent l="0" t="0" r="0" b="0"/>
                      <wp:wrapNone/>
                      <wp:docPr id="11" name="Frame11"/>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4620" cy="175260"/>
                      <wp:effectExtent l="0" t="0" r="0" b="0"/>
                      <wp:wrapNone/>
                      <wp:docPr id="13" name="Frame1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1025" cy="175260"/>
                      <wp:effectExtent l="0" t="0" r="0" b="0"/>
                      <wp:wrapNone/>
                      <wp:docPr id="14" name="Frame14"/>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314"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7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lineRule="auto" w:line="285" w:before="0" w:after="0"/>
              <w:ind w:left="0" w:right="0" w:hanging="0"/>
              <w:jc w:val="left"/>
              <w:rPr/>
            </w:pPr>
            <w:r>
              <w:rPr/>
              <w:t>​</w:t>
            </w:r>
          </w:p>
        </w:tc>
        <w:tc>
          <w:tcPr>
            <w:tcW w:w="112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14"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right"/>
              <w:rPr/>
            </w:pPr>
            <w:r>
              <w:rPr/>
              <w:t>  ​</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861"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 </w:t>
            </w:r>
          </w:p>
        </w:tc>
        <w:tc>
          <w:tcPr>
            <w:tcW w:w="212" w:type="dxa"/>
            <w:tcBorders/>
            <w:vAlign w:val="center"/>
          </w:tcPr>
          <w:p>
            <w:pPr>
              <w:pStyle w:val="TableContents"/>
              <w:bidi w:val="0"/>
              <w:spacing w:lineRule="auto" w:line="285" w:before="0" w:after="0"/>
              <w:ind w:left="0" w:right="0" w:hanging="0"/>
              <w:jc w:val="left"/>
              <w:rPr/>
            </w:pPr>
            <w:r>
              <w:rPr/>
              <w:t>​</w:t>
            </w:r>
          </w:p>
        </w:tc>
        <w:tc>
          <w:tcPr>
            <w:tcW w:w="915" w:type="dxa"/>
            <w:tcBorders/>
            <w:vAlign w:val="center"/>
          </w:tcPr>
          <w:p>
            <w:pPr>
              <w:pStyle w:val="TableContents"/>
              <w:bidi w:val="0"/>
              <w:spacing w:lineRule="auto" w:line="285" w:before="0" w:after="0"/>
              <w:ind w:left="0" w:right="0" w:hanging="0"/>
              <w:jc w:val="right"/>
              <w:rPr/>
            </w:pPr>
            <w:r>
              <w:rPr/>
              <w:t>  ​</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40,102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4,576</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196,612</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52,174</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 related party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 </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1,427</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239,946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 </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58,214</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839</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Investment in Angel Pharmaceuticals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10,496</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10,991</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253,195</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71,119</w:t>
            </w:r>
          </w:p>
        </w:tc>
      </w:tr>
      <w:tr>
        <w:trPr/>
        <w:tc>
          <w:tcPr>
            <w:tcW w:w="7314"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right"/>
              <w:rPr/>
            </w:pPr>
            <w:r>
              <w:rPr/>
              <w:t>​</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915" w:type="dxa"/>
            <w:tcBorders/>
            <w:vAlign w:val="center"/>
          </w:tcPr>
          <w:p>
            <w:pPr>
              <w:pStyle w:val="TableContents"/>
              <w:bidi w:val="0"/>
              <w:spacing w:lineRule="auto" w:line="285" w:before="0" w:after="0"/>
              <w:ind w:left="0" w:right="0" w:hanging="0"/>
              <w:jc w:val="right"/>
              <w:rPr/>
            </w:pPr>
            <w:r>
              <w:rPr/>
              <w:t>  ​</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 </w:t>
            </w:r>
          </w:p>
        </w:tc>
        <w:tc>
          <w:tcPr>
            <w:tcW w:w="915" w:type="dxa"/>
            <w:tcBorders/>
            <w:shd w:fill="CCEEFF" w:val="clear"/>
            <w:vAlign w:val="center"/>
          </w:tcPr>
          <w:p>
            <w:pPr>
              <w:pStyle w:val="TableContents"/>
              <w:bidi w:val="0"/>
              <w:spacing w:lineRule="auto" w:line="285" w:before="0" w:after="0"/>
              <w:ind w:left="0" w:right="0" w:hanging="0"/>
              <w:jc w:val="right"/>
              <w:rPr/>
            </w:pPr>
            <w:r>
              <w:rPr/>
              <w:t>  ​</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4,697</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2,491</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403</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6,985</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6,486</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9,380</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534</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9,914</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Commitments and contingencies </w:t>
            </w:r>
            <w:r>
              <w:rPr>
                <w:rFonts w:ascii="Times New Roman;Times;serif" w:hAnsi="Times New Roman;Times;serif"/>
                <w:i/>
                <w:sz w:val="20"/>
              </w:rPr>
              <w:t>(Note 15)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1"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915" w:type="dxa"/>
            <w:tcBorders/>
            <w:vAlign w:val="center"/>
          </w:tcPr>
          <w:p>
            <w:pPr>
              <w:pStyle w:val="TableContents"/>
              <w:bidi w:val="0"/>
              <w:spacing w:lineRule="auto" w:line="285" w:before="0" w:after="0"/>
              <w:ind w:left="0" w:right="0" w:hanging="0"/>
              <w:jc w:val="right"/>
              <w:rPr/>
            </w:pPr>
            <w:r>
              <w:rPr/>
              <w:t>  ​</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 </w:t>
            </w:r>
          </w:p>
        </w:tc>
        <w:tc>
          <w:tcPr>
            <w:tcW w:w="915" w:type="dxa"/>
            <w:tcBorders/>
            <w:shd w:fill="CCEEFF" w:val="clear"/>
            <w:vAlign w:val="center"/>
          </w:tcPr>
          <w:p>
            <w:pPr>
              <w:pStyle w:val="TableContents"/>
              <w:bidi w:val="0"/>
              <w:spacing w:lineRule="auto" w:line="285" w:before="0" w:after="0"/>
              <w:ind w:left="0" w:right="0" w:hanging="0"/>
              <w:jc w:val="right"/>
              <w:rPr/>
            </w:pPr>
            <w:r>
              <w:rPr/>
              <w:t>  ​</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Preferred stock: $0.0001 par value; 10,000,000 shares authorized at March 31, 2026 and December 31, 2025; 0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outstanding at each of March 31, 2026 and December 31, 2025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1"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915"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$0.0001 par value; 290,000,000 shares authorized at March 31, 2026 and December 31, 2025; 84,090,424 and 74,696,629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March 31, 2026 and December 31, 2025, respectively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 </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667,782</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474,387</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 </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(896)</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(425,985)</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(412,293)</w:t>
            </w:r>
          </w:p>
        </w:tc>
      </w:tr>
      <w:tr>
        <w:trPr/>
        <w:tc>
          <w:tcPr>
            <w:tcW w:w="73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240,679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61,205</w:t>
            </w:r>
          </w:p>
        </w:tc>
      </w:tr>
      <w:tr>
        <w:trPr/>
        <w:tc>
          <w:tcPr>
            <w:tcW w:w="73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253,195</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71,119</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29" w:name="_45eb922e_ab40_4642_881b_73921259d306"/>
      <w:bookmarkEnd w:id="129"/>
      <w:r>
        <w:rPr>
          <w:rFonts w:ascii="Times New Roman;Times;serif" w:hAnsi="Times New Roman;Times;serif"/>
          <w:b/>
          <w:sz w:val="20"/>
        </w:rPr>
        <w:t>CORVUS PHARMACEUTICALS, INC.</w:t>
      </w:r>
    </w:p>
    <w:p>
      <w:pPr>
        <w:pStyle w:val="TextBody"/>
        <w:bidi w:val="0"/>
        <w:spacing w:lineRule="auto" w:line="285" w:before="0" w:after="0"/>
        <w:ind w:left="0" w:right="0" w:hanging="0"/>
        <w:jc w:val="center"/>
        <w:rPr>
          <w:rFonts w:ascii="Times New Roman;Times;serif" w:hAnsi="Times New Roman;Times;serif"/>
          <w:b/>
          <w:sz w:val="20"/>
        </w:rPr>
      </w:pPr>
      <w:bookmarkStart w:id="130" w:name="CONDENSEDCONSOLIDATEDSTATEMENTSOFOPERATI"/>
      <w:bookmarkEnd w:id="130"/>
      <w:r>
        <w:rPr>
          <w:rFonts w:ascii="Times New Roman;Times;serif" w:hAnsi="Times New Roman;Times;serif"/>
          <w:b/>
          <w:sz w:val="20"/>
        </w:rPr>
        <w:t>CONDENSED CONSOLIDATED STATEMENTS OF OPERATIONS AND COMPREHENSIVE LOSS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31" w:name="Tc_Xf4RWE5cVUCwpok7eAwrlA_21_5"/>
      <w:bookmarkStart w:id="132" w:name="Tc_XVaC3iGIkkGjG7aq-bJHJw_21_2"/>
      <w:bookmarkStart w:id="133" w:name="Tc_Ppz6W9EShEKr-ILn2nOmHQ_21_0"/>
      <w:bookmarkStart w:id="134" w:name="Tc_PJ5zz3bpA0SWcfNwBOylTg_20_0"/>
      <w:bookmarkStart w:id="135" w:name="Tc_QcsAGKGx50iY-5mJdY2vhg_19_0"/>
      <w:bookmarkStart w:id="136" w:name="Tc_FdUF-9O7KUm5sfaM3vil4w_18_0"/>
      <w:bookmarkStart w:id="137" w:name="Tc_y5a-gs6k8Uipgmv3werRgQ_17_0"/>
      <w:bookmarkStart w:id="138" w:name="Tc_iIG87n8XTkyAlAexwmhlEA_16_0"/>
      <w:bookmarkStart w:id="139" w:name="Tc_ju-IOkCgB0Gf2NygBkj49g_15_5"/>
      <w:bookmarkStart w:id="140" w:name="Tc_WUF4VQZmG0qW6tAdqKOx9Q_15_2"/>
      <w:bookmarkStart w:id="141" w:name="Tc_5U5HO4cRgUWydD46b-oFvQ_15_0"/>
      <w:bookmarkStart w:id="142" w:name="Tc_IwVYYVoK2k2ivVnFolt_YQ_14_5"/>
      <w:bookmarkStart w:id="143" w:name="Tc_o__Yws42tUK4O0sHUNNBmg_14_2"/>
      <w:bookmarkStart w:id="144" w:name="Tc_4jEmobjGM0WJqtkwP9W_zA_14_0"/>
      <w:bookmarkStart w:id="145" w:name="Tc_381qH_2d_EOrA91Jrzw52w_13_5"/>
      <w:bookmarkStart w:id="146" w:name="Tc_k_5DTonXk06Dm06zJlS2Eg_13_2"/>
      <w:bookmarkStart w:id="147" w:name="Tc_myCi8pCsw0-2NGNO5Fq0Vg_13_0"/>
      <w:bookmarkStart w:id="148" w:name="Tc_7nn5HBLeXE2DqsOJ0qFZBA_12_0"/>
      <w:bookmarkStart w:id="149" w:name="Tc_0wfBWT7jAUCHoSCO5xUT-Q_11_0"/>
      <w:bookmarkStart w:id="150" w:name="Tc_tWoS3U9tjEK859T5fa6-_Q_10_3"/>
      <w:bookmarkStart w:id="151" w:name="Tc_OVqBjQvQDU6m1O_vCTWlMQ_10_0"/>
      <w:bookmarkStart w:id="152" w:name="Tc_BtdVqhSqwkirK5p08m85Vg_9_0"/>
      <w:bookmarkStart w:id="153" w:name="Tc_-2zrvO0VWE-uoBKtPr1b1w_8_0"/>
      <w:bookmarkStart w:id="154" w:name="Tc_ge6lnRZQYEuXiwmOWinafQ_7_0"/>
      <w:bookmarkStart w:id="155" w:name="Tc_ypeMXEncDk-H7lDAFMlQ8A_6_0"/>
      <w:bookmarkStart w:id="156" w:name="Tc_hJ1eQ8ekukW8h3MPj9uOZA_5_5"/>
      <w:bookmarkStart w:id="157" w:name="Tc_RZRCK0a0z0mI5bnnuFg4ww_5_2"/>
      <w:bookmarkStart w:id="158" w:name="Tc_OqCc-_FRfU2KajJNE3QZrA_5_0"/>
      <w:bookmarkStart w:id="159" w:name="Tc_1cS0ew1wjUGi8ct-wHht9g_4_0"/>
      <w:bookmarkStart w:id="160" w:name="Tc_a7aztzoBlUu1fFvpDQZY5Q_3_5"/>
      <w:bookmarkStart w:id="161" w:name="Tc_IO5NIXeqAkqX-ZNPJVpPDQ_3_2"/>
      <w:bookmarkStart w:id="162" w:name="Tc_vIZ3tN7MdUmZYdpu2DicMw_2_2"/>
      <w:bookmarkStart w:id="163" w:name="Tc_m7XGbDz6BEGaOqTRNpoI0w_1_2"/>
      <w:bookmarkStart w:id="164" w:name="_eb43a729_0676_4a3a_9fae_e371a235dcaa"/>
      <w:bookmarkStart w:id="165" w:name="Tc_Xf4RWE5cVUCwpok7eAwrlA_21_5"/>
      <w:bookmarkStart w:id="166" w:name="Tc_XVaC3iGIkkGjG7aq-bJHJw_21_2"/>
      <w:bookmarkStart w:id="167" w:name="Tc_Ppz6W9EShEKr-ILn2nOmHQ_21_0"/>
      <w:bookmarkStart w:id="168" w:name="Tc_PJ5zz3bpA0SWcfNwBOylTg_20_0"/>
      <w:bookmarkStart w:id="169" w:name="Tc_QcsAGKGx50iY-5mJdY2vhg_19_0"/>
      <w:bookmarkStart w:id="170" w:name="Tc_FdUF-9O7KUm5sfaM3vil4w_18_0"/>
      <w:bookmarkStart w:id="171" w:name="Tc_y5a-gs6k8Uipgmv3werRgQ_17_0"/>
      <w:bookmarkStart w:id="172" w:name="Tc_iIG87n8XTkyAlAexwmhlEA_16_0"/>
      <w:bookmarkStart w:id="173" w:name="Tc_ju-IOkCgB0Gf2NygBkj49g_15_5"/>
      <w:bookmarkStart w:id="174" w:name="Tc_WUF4VQZmG0qW6tAdqKOx9Q_15_2"/>
      <w:bookmarkStart w:id="175" w:name="Tc_5U5HO4cRgUWydD46b-oFvQ_15_0"/>
      <w:bookmarkStart w:id="176" w:name="Tc_IwVYYVoK2k2ivVnFolt_YQ_14_5"/>
      <w:bookmarkStart w:id="177" w:name="Tc_o__Yws42tUK4O0sHUNNBmg_14_2"/>
      <w:bookmarkStart w:id="178" w:name="Tc_4jEmobjGM0WJqtkwP9W_zA_14_0"/>
      <w:bookmarkStart w:id="179" w:name="Tc_381qH_2d_EOrA91Jrzw52w_13_5"/>
      <w:bookmarkStart w:id="180" w:name="Tc_k_5DTonXk06Dm06zJlS2Eg_13_2"/>
      <w:bookmarkStart w:id="181" w:name="Tc_myCi8pCsw0-2NGNO5Fq0Vg_13_0"/>
      <w:bookmarkStart w:id="182" w:name="Tc_7nn5HBLeXE2DqsOJ0qFZBA_12_0"/>
      <w:bookmarkStart w:id="183" w:name="Tc_0wfBWT7jAUCHoSCO5xUT-Q_11_0"/>
      <w:bookmarkStart w:id="184" w:name="Tc_tWoS3U9tjEK859T5fa6-_Q_10_3"/>
      <w:bookmarkStart w:id="185" w:name="Tc_OVqBjQvQDU6m1O_vCTWlMQ_10_0"/>
      <w:bookmarkStart w:id="186" w:name="Tc_BtdVqhSqwkirK5p08m85Vg_9_0"/>
      <w:bookmarkStart w:id="187" w:name="Tc_-2zrvO0VWE-uoBKtPr1b1w_8_0"/>
      <w:bookmarkStart w:id="188" w:name="Tc_ge6lnRZQYEuXiwmOWinafQ_7_0"/>
      <w:bookmarkStart w:id="189" w:name="Tc_ypeMXEncDk-H7lDAFMlQ8A_6_0"/>
      <w:bookmarkStart w:id="190" w:name="Tc_hJ1eQ8ekukW8h3MPj9uOZA_5_5"/>
      <w:bookmarkStart w:id="191" w:name="Tc_RZRCK0a0z0mI5bnnuFg4ww_5_2"/>
      <w:bookmarkStart w:id="192" w:name="Tc_OqCc-_FRfU2KajJNE3QZrA_5_0"/>
      <w:bookmarkStart w:id="193" w:name="Tc_1cS0ew1wjUGi8ct-wHht9g_4_0"/>
      <w:bookmarkStart w:id="194" w:name="Tc_a7aztzoBlUu1fFvpDQZY5Q_3_5"/>
      <w:bookmarkStart w:id="195" w:name="Tc_IO5NIXeqAkqX-ZNPJVpPDQ_3_2"/>
      <w:bookmarkStart w:id="196" w:name="Tc_vIZ3tN7MdUmZYdpu2DicMw_2_2"/>
      <w:bookmarkStart w:id="197" w:name="Tc_m7XGbDz6BEGaOqTRNpoI0w_1_2"/>
      <w:bookmarkStart w:id="198" w:name="_eb43a729_0676_4a3a_9fae_e371a235dcaa"/>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tbl>
      <w:tblPr>
        <w:tblW w:w="8303" w:type="dxa"/>
        <w:jc w:val="left"/>
        <w:tblInd w:w="0" w:type="dxa"/>
        <w:tblLayout w:type="fixed"/>
        <w:tblCellMar>
          <w:top w:w="0" w:type="dxa"/>
          <w:left w:w="0" w:type="dxa"/>
          <w:bottom w:w="0" w:type="dxa"/>
          <w:right w:w="0" w:type="dxa"/>
        </w:tblCellMar>
      </w:tblPr>
      <w:tblGrid>
        <w:gridCol w:w="4726"/>
        <w:gridCol w:w="346"/>
        <w:gridCol w:w="211"/>
        <w:gridCol w:w="1036"/>
        <w:gridCol w:w="346"/>
        <w:gridCol w:w="211"/>
        <w:gridCol w:w="1036"/>
        <w:gridCol w:w="391"/>
      </w:tblGrid>
      <w:tr>
        <w:trPr/>
        <w:tc>
          <w:tcPr>
            <w:tcW w:w="4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001010" cy="175260"/>
                      <wp:effectExtent l="0" t="0" r="0" b="0"/>
                      <wp:wrapNone/>
                      <wp:docPr id="15" name="Frame15"/>
                      <a:graphic xmlns:a="http://schemas.openxmlformats.org/drawingml/2006/main">
                        <a:graphicData uri="http://schemas.microsoft.com/office/word/2010/wordprocessingShape">
                          <wps:wsp>
                            <wps:cNvSpPr txBox="1"/>
                            <wps:spPr>
                              <a:xfrm>
                                <a:off x="0" y="0"/>
                                <a:ext cx="3001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48285" cy="175260"/>
                      <wp:effectExtent l="0" t="0" r="0" b="0"/>
                      <wp:wrapNone/>
                      <wp:docPr id="22" name="Frame2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72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72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4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7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11,175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7,453</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2,469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7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14,877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9,922</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(9,922)</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7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and other expense, net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1,784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25,129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7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equity method investment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(13,093)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15,732</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equity method investment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7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(13,692)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15,193</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income per share, basic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7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per share, diluted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Shares used to compute net (loss) income per share, basic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89,996,728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72,126,496</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7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Shares used to compute net loss per share, diluted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89,996,728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75,152,514</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7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Cumulative 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7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Comprehensive (loss)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(13,922)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15,227</w:t>
            </w:r>
          </w:p>
        </w:tc>
        <w:tc>
          <w:tcPr>
            <w:tcW w:w="3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99" w:name="_a5be6667_8ab4_4587_9702_52d42d9fad4e"/>
      <w:bookmarkEnd w:id="199"/>
      <w:r>
        <w:rPr>
          <w:rFonts w:ascii="Times New Roman;Times;serif" w:hAnsi="Times New Roman;Times;serif"/>
          <w:b/>
          <w:sz w:val="20"/>
        </w:rPr>
        <w:t>CORVUS PHARMACEUTICALS, INC.</w:t>
      </w:r>
    </w:p>
    <w:p>
      <w:pPr>
        <w:pStyle w:val="TextBody"/>
        <w:bidi w:val="0"/>
        <w:spacing w:lineRule="auto" w:line="285" w:before="0" w:after="0"/>
        <w:ind w:left="0" w:right="0" w:hanging="0"/>
        <w:jc w:val="center"/>
        <w:rPr>
          <w:rFonts w:ascii="Times New Roman;Times;serif" w:hAnsi="Times New Roman;Times;serif"/>
          <w:b/>
          <w:sz w:val="20"/>
        </w:rPr>
      </w:pPr>
      <w:bookmarkStart w:id="200" w:name="STOCKHOLDERSEQUITY_96157"/>
      <w:bookmarkEnd w:id="200"/>
      <w:r>
        <w:rPr>
          <w:rFonts w:ascii="Times New Roman;Times;serif" w:hAnsi="Times New Roman;Times;serif"/>
          <w:b/>
          <w:sz w:val="20"/>
        </w:rPr>
        <w:t>CONDENSED CONSOLIDATED STATEMENTS OF CHANGES IN STOCKHOLDERS’ EQUITY</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201" w:name="Tc_MuIl5ocrZ0KXjsXnJMto_Q_13_16"/>
      <w:bookmarkStart w:id="202" w:name="Tc_Z2cTvoGGs0SYZtex8mC3Gg_13_13"/>
      <w:bookmarkStart w:id="203" w:name="Tc_dPNXNTa38Um1FYx4Ykvpdw_13_10"/>
      <w:bookmarkStart w:id="204" w:name="Tc_Xm53nB7hJUeKWVnALlgL9w_13_7"/>
      <w:bookmarkStart w:id="205" w:name="Tc_FrdWEEGqsEi-nUfAo-V4Xw_13_4"/>
      <w:bookmarkStart w:id="206" w:name="Tc_E_iZZXe1iUuAmtDfPRP2pQ_13_0"/>
      <w:bookmarkStart w:id="207" w:name="Tc_C7OLhQQ20Ee33CM7JWJ2uA_12_11"/>
      <w:bookmarkStart w:id="208" w:name="Tc_Bs_3aeS8uUOb5CibEzkA6w_12_8"/>
      <w:bookmarkStart w:id="209" w:name="Tc_U-zDeGNEe0-XsE1HTHse9A_12_5"/>
      <w:bookmarkStart w:id="210" w:name="Tc_QpRxJ_At10qi8gBG133wEQ_12_2"/>
      <w:bookmarkStart w:id="211" w:name="Tc_JZn_0IPq8ESCN2x1g6iTfg_12_0"/>
      <w:bookmarkStart w:id="212" w:name="Tc_CryLLyfKWkWONwr10RK71Q_11_14"/>
      <w:bookmarkStart w:id="213" w:name="Tc_HAY_XgIPqEmBFpwIN8PrGg_11_8"/>
      <w:bookmarkStart w:id="214" w:name="Tc_FyKcD3xcgEii99f2mZ8APg_11_5"/>
      <w:bookmarkStart w:id="215" w:name="Tc_XCuMlHIKV0qyjTm3Cv6v7Q_11_2"/>
      <w:bookmarkStart w:id="216" w:name="Tc_AV0YUuV3F0WZewwfc2O3bg_11_0"/>
      <w:bookmarkStart w:id="217" w:name="Tc_tGlmy8jLpk2hSQgt6asQvQ_10_14"/>
      <w:bookmarkStart w:id="218" w:name="Tc_WwGurVdM2EaO2INKYLoNmg_10_8"/>
      <w:bookmarkStart w:id="219" w:name="Tc_H61ulVmbtUiQvQcuXACnzQ_10_5"/>
      <w:bookmarkStart w:id="220" w:name="Tc_QhkK3a-L90mMRpvtU49-JQ_10_2"/>
      <w:bookmarkStart w:id="221" w:name="Tc_oR1xJzVfTEuhIUscto6ERg_10_0"/>
      <w:bookmarkStart w:id="222" w:name="Tc_DAoYfayxC0KNW_2n45Dtcg_9_14"/>
      <w:bookmarkStart w:id="223" w:name="Tc__T-KQSQX_EuWRsHZTsBjwA_9_11"/>
      <w:bookmarkStart w:id="224" w:name="Tc_vgor16NRmUWFfjaJOOZe3g_9_5"/>
      <w:bookmarkStart w:id="225" w:name="Tc__-62LMn3RkWSR_vu7Jhxvw_9_2"/>
      <w:bookmarkStart w:id="226" w:name="Tc_Ex1vn24oUk2CDUAY0hCk-Q_9_0"/>
      <w:bookmarkStart w:id="227" w:name="Tc_EBkyEvaLkk6wbiIxZnqahw_8_14"/>
      <w:bookmarkStart w:id="228" w:name="Tc_9lGC_n-m0EK1W-4r2SAyUw_8_11"/>
      <w:bookmarkStart w:id="229" w:name="Tc_H2kuVnNMP0OMuqyS6t_3kQ_8_0"/>
      <w:bookmarkStart w:id="230" w:name="Tc_Y9hA0cbgcE6KqEHuT-8Q7w_7_14"/>
      <w:bookmarkStart w:id="231" w:name="Tc_9zHzhW-BYESNXPM4yNnoHg_7_11"/>
      <w:bookmarkStart w:id="232" w:name="Tc_euidC9mphUeLBdgEEvivXg_7_5"/>
      <w:bookmarkStart w:id="233" w:name="Tc_bfBqq1aiJUmQSQg9iyT3XQ_7_0"/>
      <w:bookmarkStart w:id="234" w:name="Tc_0nHOsQOVM06E_7GHmybVcw_6_16"/>
      <w:bookmarkStart w:id="235" w:name="Tc_bhg-1UNOoUGlscGt9Sq9Ew_6_13"/>
      <w:bookmarkStart w:id="236" w:name="Tc_V2qnhi0pmkWGzN3HFIFpqg_6_10"/>
      <w:bookmarkStart w:id="237" w:name="Tc_-9aEtCPVOUWjrjzYrVE6yw_6_7"/>
      <w:bookmarkStart w:id="238" w:name="Tc_kY1shGYKE0-vZHHE03NakQ_6_4"/>
      <w:bookmarkStart w:id="239" w:name="Tc_emcuKIvA1EKlnzqiBMQNZA_6_0"/>
      <w:bookmarkStart w:id="240" w:name="Tc_Gu_OXwiWDke8cOYUk-5Njw_5_16"/>
      <w:bookmarkStart w:id="241" w:name="Tc_SKy2NSEi7kOBMSlEiDqbwQ_5_13"/>
      <w:bookmarkStart w:id="242" w:name="Tc_RKzEsc4EwU2Z8Y3NyLVbrA_5_10"/>
      <w:bookmarkStart w:id="243" w:name="Tc_yNmWIZ2sX0COlP-dVMgi0Q_5_7"/>
      <w:bookmarkStart w:id="244" w:name="Tc_h3suV2gjYkOgwfl45TjDRg_5_4"/>
      <w:bookmarkStart w:id="245" w:name="Tc_HXz62SNHf0qSWphMA4fBJA_5_2"/>
      <w:bookmarkStart w:id="246" w:name="Tc_kDMg99YCIU-iRYneg94nVA_4_16"/>
      <w:bookmarkStart w:id="247" w:name="Tc_PVZvoC3mNEy4YmVNFf-rRg_4_13"/>
      <w:bookmarkStart w:id="248" w:name="Tc_tkes_BlC7E-Lp2gPSa1__w_4_10"/>
      <w:bookmarkStart w:id="249" w:name="Tc_-Ej8j7Da2kK4Pb0Pg_2qqA_4_7"/>
      <w:bookmarkStart w:id="250" w:name="Tc_EqbqP0-hfEmI3I7rGwnNgw_4_2"/>
      <w:bookmarkStart w:id="251" w:name="Tc_WfWMUuQo1k-FFp5X7URWug_3_16"/>
      <w:bookmarkStart w:id="252" w:name="Tc_V5MVzbIKZ06YA_6GnxnwyA_3_10"/>
      <w:bookmarkStart w:id="253" w:name="Tc_XFJLosGQPEuO1Z48I8-zLQ_3_7"/>
      <w:bookmarkStart w:id="254" w:name="Tc_p7H-TpeJ8kiJIjhOJ-NVYQ_2_10"/>
      <w:bookmarkStart w:id="255" w:name="Tc_8rkaNNJfKUyHVyJtmAjg-w_1_2"/>
      <w:bookmarkStart w:id="256" w:name="_9231e40d_8a65_44b5_9df7_0f6529b4f75c"/>
      <w:bookmarkStart w:id="257" w:name="Tc_MuIl5ocrZ0KXjsXnJMto_Q_13_16"/>
      <w:bookmarkStart w:id="258" w:name="Tc_Z2cTvoGGs0SYZtex8mC3Gg_13_13"/>
      <w:bookmarkStart w:id="259" w:name="Tc_dPNXNTa38Um1FYx4Ykvpdw_13_10"/>
      <w:bookmarkStart w:id="260" w:name="Tc_Xm53nB7hJUeKWVnALlgL9w_13_7"/>
      <w:bookmarkStart w:id="261" w:name="Tc_FrdWEEGqsEi-nUfAo-V4Xw_13_4"/>
      <w:bookmarkStart w:id="262" w:name="Tc_E_iZZXe1iUuAmtDfPRP2pQ_13_0"/>
      <w:bookmarkStart w:id="263" w:name="Tc_C7OLhQQ20Ee33CM7JWJ2uA_12_11"/>
      <w:bookmarkStart w:id="264" w:name="Tc_Bs_3aeS8uUOb5CibEzkA6w_12_8"/>
      <w:bookmarkStart w:id="265" w:name="Tc_U-zDeGNEe0-XsE1HTHse9A_12_5"/>
      <w:bookmarkStart w:id="266" w:name="Tc_QpRxJ_At10qi8gBG133wEQ_12_2"/>
      <w:bookmarkStart w:id="267" w:name="Tc_JZn_0IPq8ESCN2x1g6iTfg_12_0"/>
      <w:bookmarkStart w:id="268" w:name="Tc_CryLLyfKWkWONwr10RK71Q_11_14"/>
      <w:bookmarkStart w:id="269" w:name="Tc_HAY_XgIPqEmBFpwIN8PrGg_11_8"/>
      <w:bookmarkStart w:id="270" w:name="Tc_FyKcD3xcgEii99f2mZ8APg_11_5"/>
      <w:bookmarkStart w:id="271" w:name="Tc_XCuMlHIKV0qyjTm3Cv6v7Q_11_2"/>
      <w:bookmarkStart w:id="272" w:name="Tc_AV0YUuV3F0WZewwfc2O3bg_11_0"/>
      <w:bookmarkStart w:id="273" w:name="Tc_tGlmy8jLpk2hSQgt6asQvQ_10_14"/>
      <w:bookmarkStart w:id="274" w:name="Tc_WwGurVdM2EaO2INKYLoNmg_10_8"/>
      <w:bookmarkStart w:id="275" w:name="Tc_H61ulVmbtUiQvQcuXACnzQ_10_5"/>
      <w:bookmarkStart w:id="276" w:name="Tc_QhkK3a-L90mMRpvtU49-JQ_10_2"/>
      <w:bookmarkStart w:id="277" w:name="Tc_oR1xJzVfTEuhIUscto6ERg_10_0"/>
      <w:bookmarkStart w:id="278" w:name="Tc_DAoYfayxC0KNW_2n45Dtcg_9_14"/>
      <w:bookmarkStart w:id="279" w:name="Tc__T-KQSQX_EuWRsHZTsBjwA_9_11"/>
      <w:bookmarkStart w:id="280" w:name="Tc_vgor16NRmUWFfjaJOOZe3g_9_5"/>
      <w:bookmarkStart w:id="281" w:name="Tc__-62LMn3RkWSR_vu7Jhxvw_9_2"/>
      <w:bookmarkStart w:id="282" w:name="Tc_Ex1vn24oUk2CDUAY0hCk-Q_9_0"/>
      <w:bookmarkStart w:id="283" w:name="Tc_EBkyEvaLkk6wbiIxZnqahw_8_14"/>
      <w:bookmarkStart w:id="284" w:name="Tc_9lGC_n-m0EK1W-4r2SAyUw_8_11"/>
      <w:bookmarkStart w:id="285" w:name="Tc_H2kuVnNMP0OMuqyS6t_3kQ_8_0"/>
      <w:bookmarkStart w:id="286" w:name="Tc_Y9hA0cbgcE6KqEHuT-8Q7w_7_14"/>
      <w:bookmarkStart w:id="287" w:name="Tc_9zHzhW-BYESNXPM4yNnoHg_7_11"/>
      <w:bookmarkStart w:id="288" w:name="Tc_euidC9mphUeLBdgEEvivXg_7_5"/>
      <w:bookmarkStart w:id="289" w:name="Tc_bfBqq1aiJUmQSQg9iyT3XQ_7_0"/>
      <w:bookmarkStart w:id="290" w:name="Tc_0nHOsQOVM06E_7GHmybVcw_6_16"/>
      <w:bookmarkStart w:id="291" w:name="Tc_bhg-1UNOoUGlscGt9Sq9Ew_6_13"/>
      <w:bookmarkStart w:id="292" w:name="Tc_V2qnhi0pmkWGzN3HFIFpqg_6_10"/>
      <w:bookmarkStart w:id="293" w:name="Tc_-9aEtCPVOUWjrjzYrVE6yw_6_7"/>
      <w:bookmarkStart w:id="294" w:name="Tc_kY1shGYKE0-vZHHE03NakQ_6_4"/>
      <w:bookmarkStart w:id="295" w:name="Tc_emcuKIvA1EKlnzqiBMQNZA_6_0"/>
      <w:bookmarkStart w:id="296" w:name="Tc_Gu_OXwiWDke8cOYUk-5Njw_5_16"/>
      <w:bookmarkStart w:id="297" w:name="Tc_SKy2NSEi7kOBMSlEiDqbwQ_5_13"/>
      <w:bookmarkStart w:id="298" w:name="Tc_RKzEsc4EwU2Z8Y3NyLVbrA_5_10"/>
      <w:bookmarkStart w:id="299" w:name="Tc_yNmWIZ2sX0COlP-dVMgi0Q_5_7"/>
      <w:bookmarkStart w:id="300" w:name="Tc_h3suV2gjYkOgwfl45TjDRg_5_4"/>
      <w:bookmarkStart w:id="301" w:name="Tc_HXz62SNHf0qSWphMA4fBJA_5_2"/>
      <w:bookmarkStart w:id="302" w:name="Tc_kDMg99YCIU-iRYneg94nVA_4_16"/>
      <w:bookmarkStart w:id="303" w:name="Tc_PVZvoC3mNEy4YmVNFf-rRg_4_13"/>
      <w:bookmarkStart w:id="304" w:name="Tc_tkes_BlC7E-Lp2gPSa1__w_4_10"/>
      <w:bookmarkStart w:id="305" w:name="Tc_-Ej8j7Da2kK4Pb0Pg_2qqA_4_7"/>
      <w:bookmarkStart w:id="306" w:name="Tc_EqbqP0-hfEmI3I7rGwnNgw_4_2"/>
      <w:bookmarkStart w:id="307" w:name="Tc_WfWMUuQo1k-FFp5X7URWug_3_16"/>
      <w:bookmarkStart w:id="308" w:name="Tc_V5MVzbIKZ06YA_6GnxnwyA_3_10"/>
      <w:bookmarkStart w:id="309" w:name="Tc_XFJLosGQPEuO1Z48I8-zLQ_3_7"/>
      <w:bookmarkStart w:id="310" w:name="Tc_p7H-TpeJ8kiJIjhOJ-NVYQ_2_10"/>
      <w:bookmarkStart w:id="311" w:name="Tc_8rkaNNJfKUyHVyJtmAjg-w_1_2"/>
      <w:bookmarkStart w:id="312" w:name="_9231e40d_8a65_44b5_9df7_0f6529b4f75c"/>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tbl>
      <w:tblPr>
        <w:tblW w:w="10205" w:type="dxa"/>
        <w:jc w:val="left"/>
        <w:tblInd w:w="0" w:type="dxa"/>
        <w:tblLayout w:type="fixed"/>
        <w:tblCellMar>
          <w:top w:w="0" w:type="dxa"/>
          <w:left w:w="0" w:type="dxa"/>
          <w:bottom w:w="0" w:type="dxa"/>
          <w:right w:w="0" w:type="dxa"/>
        </w:tblCellMar>
      </w:tblPr>
      <w:tblGrid>
        <w:gridCol w:w="2769"/>
        <w:gridCol w:w="346"/>
        <w:gridCol w:w="916"/>
        <w:gridCol w:w="346"/>
        <w:gridCol w:w="206"/>
        <w:gridCol w:w="365"/>
        <w:gridCol w:w="346"/>
        <w:gridCol w:w="196"/>
        <w:gridCol w:w="691"/>
        <w:gridCol w:w="346"/>
        <w:gridCol w:w="260"/>
        <w:gridCol w:w="761"/>
        <w:gridCol w:w="346"/>
        <w:gridCol w:w="196"/>
        <w:gridCol w:w="776"/>
        <w:gridCol w:w="346"/>
        <w:gridCol w:w="196"/>
        <w:gridCol w:w="797"/>
      </w:tblGrid>
      <w:tr>
        <w:trPr/>
        <w:tc>
          <w:tcPr>
            <w:tcW w:w="2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758315" cy="175260"/>
                      <wp:effectExtent l="0" t="0" r="0" b="0"/>
                      <wp:wrapNone/>
                      <wp:docPr id="23" name="Frame23"/>
                      <a:graphic xmlns:a="http://schemas.openxmlformats.org/drawingml/2006/main">
                        <a:graphicData uri="http://schemas.microsoft.com/office/word/2010/wordprocessingShape">
                          <wps:wsp>
                            <wps:cNvSpPr txBox="1"/>
                            <wps:spPr>
                              <a:xfrm>
                                <a:off x="0" y="0"/>
                                <a:ext cx="17583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81660" cy="175260"/>
                      <wp:effectExtent l="0" t="0" r="0" b="0"/>
                      <wp:wrapNone/>
                      <wp:docPr id="25" name="Frame2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27" name="Frame2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31775" cy="175260"/>
                      <wp:effectExtent l="0" t="0" r="0" b="0"/>
                      <wp:wrapNone/>
                      <wp:docPr id="28" name="Frame28"/>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785" cy="175260"/>
                      <wp:effectExtent l="0" t="0" r="0" b="0"/>
                      <wp:wrapNone/>
                      <wp:docPr id="31" name="Frame3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65100" cy="175260"/>
                      <wp:effectExtent l="0" t="0" r="0" b="0"/>
                      <wp:wrapNone/>
                      <wp:docPr id="33" name="Frame3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83235" cy="175260"/>
                      <wp:effectExtent l="0" t="0" r="0" b="0"/>
                      <wp:wrapNone/>
                      <wp:docPr id="34" name="Frame34"/>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92760" cy="175260"/>
                      <wp:effectExtent l="0" t="0" r="0" b="0"/>
                      <wp:wrapNone/>
                      <wp:docPr id="37" name="Frame37"/>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06095" cy="175260"/>
                      <wp:effectExtent l="0" t="0" r="0" b="0"/>
                      <wp:wrapNone/>
                      <wp:docPr id="40" name="Frame40"/>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090" w:type="dxa"/>
            <w:gridSpan w:val="16"/>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2026</w:t>
            </w:r>
          </w:p>
        </w:tc>
      </w:tr>
      <w:tr>
        <w:trPr/>
        <w:tc>
          <w:tcPr>
            <w:tcW w:w="2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rPr/>
            </w:pPr>
            <w:r>
              <w:rPr/>
              <w:t>  ​ ​ ​</w:t>
            </w:r>
          </w:p>
        </w:tc>
        <w:tc>
          <w:tcPr>
            <w:tcW w:w="196" w:type="dxa"/>
            <w:tcBorders/>
            <w:vAlign w:val="center"/>
          </w:tcPr>
          <w:p>
            <w:pPr>
              <w:pStyle w:val="TableContents"/>
              <w:bidi w:val="0"/>
              <w:spacing w:lineRule="auto" w:line="285" w:before="0" w:after="0"/>
              <w:ind w:left="0" w:right="0" w:hanging="0"/>
              <w:jc w:val="center"/>
              <w:rPr/>
            </w:pPr>
            <w:r>
              <w:rPr/>
              <w:t>​</w:t>
            </w:r>
          </w:p>
        </w:tc>
        <w:tc>
          <w:tcPr>
            <w:tcW w:w="77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6" w:type="dxa"/>
            <w:tcBorders/>
            <w:vAlign w:val="center"/>
          </w:tcPr>
          <w:p>
            <w:pPr>
              <w:pStyle w:val="TableContents"/>
              <w:bidi w:val="0"/>
              <w:spacing w:lineRule="auto" w:line="285" w:before="0" w:after="0"/>
              <w:ind w:left="0" w:right="0" w:hanging="0"/>
              <w:jc w:val="center"/>
              <w:rPr/>
            </w:pPr>
            <w:r>
              <w:rPr/>
              <w:t>​</w:t>
            </w:r>
          </w:p>
        </w:tc>
        <w:tc>
          <w:tcPr>
            <w:tcW w:w="797" w:type="dxa"/>
            <w:tcBorders/>
            <w:vAlign w:val="center"/>
          </w:tcPr>
          <w:p>
            <w:pPr>
              <w:pStyle w:val="TableContents"/>
              <w:bidi w:val="0"/>
              <w:spacing w:lineRule="auto" w:line="285" w:before="0" w:after="0"/>
              <w:ind w:left="0" w:right="0" w:hanging="0"/>
              <w:jc w:val="center"/>
              <w:rPr/>
            </w:pPr>
            <w:r>
              <w:rPr/>
              <w:t>​</w:t>
            </w:r>
          </w:p>
        </w:tc>
      </w:tr>
      <w:tr>
        <w:trPr/>
        <w:tc>
          <w:tcPr>
            <w:tcW w:w="2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7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3"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3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lineRule="auto" w:line="285" w:before="0" w:after="0"/>
              <w:ind w:left="0" w:right="0" w:hanging="0"/>
              <w:jc w:val="left"/>
              <w:rPr/>
            </w:pPr>
            <w:r>
              <w:rPr/>
              <w:t>​</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lineRule="auto" w:line="285" w:before="0" w:after="0"/>
              <w:ind w:left="0" w:right="0" w:hanging="0"/>
              <w:jc w:val="left"/>
              <w:rPr/>
            </w:pPr>
            <w:r>
              <w:rPr/>
              <w:t>​</w:t>
            </w:r>
          </w:p>
        </w:tc>
        <w:tc>
          <w:tcPr>
            <w:tcW w:w="97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993"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2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lineRule="auto" w:line="285"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lineRule="auto" w:line="285" w:before="0" w:after="0"/>
              <w:ind w:left="0" w:right="0" w:hanging="0"/>
              <w:jc w:val="left"/>
              <w:rPr/>
            </w:pPr>
            <w:r>
              <w:rPr/>
              <w:t>  ​ ​ ​</w:t>
            </w:r>
          </w:p>
        </w:tc>
        <w:tc>
          <w:tcPr>
            <w:tcW w:w="9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lineRule="auto" w:line="285" w:before="0" w:after="0"/>
              <w:ind w:left="0" w:right="0" w:hanging="0"/>
              <w:jc w:val="left"/>
              <w:rPr/>
            </w:pPr>
            <w:r>
              <w:rPr/>
              <w:t>  ​ ​ ​</w:t>
            </w:r>
          </w:p>
        </w:tc>
        <w:tc>
          <w:tcPr>
            <w:tcW w:w="9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7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74,696,629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474,387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(896)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(412,293)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61,205</w:t>
            </w:r>
          </w:p>
        </w:tc>
      </w:tr>
      <w:tr>
        <w:trPr/>
        <w:tc>
          <w:tcPr>
            <w:tcW w:w="276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issued upon exercise of stock options</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308,017</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1,339</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1,339</w:t>
            </w:r>
          </w:p>
        </w:tc>
      </w:tr>
      <w:tr>
        <w:trPr/>
        <w:tc>
          <w:tcPr>
            <w:tcW w:w="2769"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follow-on public offering,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9,085,778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189,406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189,407</w:t>
            </w:r>
          </w:p>
        </w:tc>
      </w:tr>
      <w:tr>
        <w:trPr/>
        <w:tc>
          <w:tcPr>
            <w:tcW w:w="276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2,650</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2,650</w:t>
            </w:r>
          </w:p>
        </w:tc>
      </w:tr>
      <w:tr>
        <w:trPr/>
        <w:tc>
          <w:tcPr>
            <w:tcW w:w="27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(334)</w:t>
            </w:r>
          </w:p>
        </w:tc>
      </w:tr>
      <w:tr>
        <w:trPr/>
        <w:tc>
          <w:tcPr>
            <w:tcW w:w="276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w:t>
            </w:r>
          </w:p>
        </w:tc>
      </w:tr>
      <w:tr>
        <w:trPr/>
        <w:tc>
          <w:tcPr>
            <w:tcW w:w="27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(13,692)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(13,692)</w:t>
            </w:r>
          </w:p>
        </w:tc>
      </w:tr>
      <w:tr>
        <w:trPr/>
        <w:tc>
          <w:tcPr>
            <w:tcW w:w="2769"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2026</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84,090,424</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667,782</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(1,126)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(425,985)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6"/>
              </w:rPr>
            </w:pPr>
            <w:r>
              <w:rPr>
                <w:rFonts w:ascii="Times New Roman;Times;serif" w:hAnsi="Times New Roman;Times;serif"/>
                <w:sz w:val="16"/>
              </w:rPr>
              <w:t>240,679</w:t>
            </w:r>
          </w:p>
        </w:tc>
      </w:tr>
    </w:tbl>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13" w:name="Tc_MTMjxf6AmUK-2Ff5EE1gCg_12_16"/>
      <w:bookmarkStart w:id="314" w:name="Tc_ecsTS470LkuDNz8zCWjodA_12_13"/>
      <w:bookmarkStart w:id="315" w:name="Tc_v-_jkpydPEOQGdAdtY-f3g_12_10"/>
      <w:bookmarkStart w:id="316" w:name="Tc_ppCn_qQ-aUWCM1lUENy-gA_12_7"/>
      <w:bookmarkStart w:id="317" w:name="Tc_cQ1VXZOAkUme_yydrjtyog_12_4"/>
      <w:bookmarkStart w:id="318" w:name="Tc_BHtXRsgtEU2hMdwj_s8eFQ_12_0"/>
      <w:bookmarkStart w:id="319" w:name="Tc_Up7bgsZLeEOdhdVwZO8A3Q_11_11"/>
      <w:bookmarkStart w:id="320" w:name="Tc_cI3GdTehdEeKVo41G8QBTQ_11_8"/>
      <w:bookmarkStart w:id="321" w:name="Tc_U6RGfYjHSkqTBNOgNKIRTA_11_5"/>
      <w:bookmarkStart w:id="322" w:name="Tc_LMJukCL27Um5O4o_AV0cRQ_11_2"/>
      <w:bookmarkStart w:id="323" w:name="Tc_i836nw2AREy1snpidrf0Pg_11_0"/>
      <w:bookmarkStart w:id="324" w:name="Tc_u51CNGZpbECic_d8u6RToA_10_14"/>
      <w:bookmarkStart w:id="325" w:name="Tc_zYX3XjDr50SGsqvarY6b7Q_10_8"/>
      <w:bookmarkStart w:id="326" w:name="Tc_45N1HY8PB0u59VUGJqJtIA_10_5"/>
      <w:bookmarkStart w:id="327" w:name="Tc_BFb-lI_g_0Cv9uMCu_XsvQ_10_2"/>
      <w:bookmarkStart w:id="328" w:name="Tc_b7QEBWvaWk6Usk5B8lDviA_10_0"/>
      <w:bookmarkStart w:id="329" w:name="Tc_Z7AUsbclNEy1VsUu5mdovw_9_14"/>
      <w:bookmarkStart w:id="330" w:name="Tc_X8y0yopcYESCt3bsWynwcw_9_8"/>
      <w:bookmarkStart w:id="331" w:name="Tc_sAZH_Xl2Tk63C7Z26yeZmQ_9_5"/>
      <w:bookmarkStart w:id="332" w:name="Tc_PNRJRwqiJ0u5Tr18nrwmJg_9_2"/>
      <w:bookmarkStart w:id="333" w:name="Tc_wU0S97APBkG4Umgjq3FtiA_9_0"/>
      <w:bookmarkStart w:id="334" w:name="Tc_pRBAyHfi0kmjeYy2ds1xKQ_8_14"/>
      <w:bookmarkStart w:id="335" w:name="Tc_ldgyvGcqwkuerTz4LwSyaw_8_11"/>
      <w:bookmarkStart w:id="336" w:name="Tc_nFAZYN6bBke9qg_miELA7w_8_5"/>
      <w:bookmarkStart w:id="337" w:name="Tc_zGMef39srEueJVB24col9w_8_2"/>
      <w:bookmarkStart w:id="338" w:name="Tc_zhMbWpNH3kONWoSFf4hQRg_8_0"/>
      <w:bookmarkStart w:id="339" w:name="Tc_fiLMMgtYFkerWme5_mf1HA_7_14"/>
      <w:bookmarkStart w:id="340" w:name="Tc_mQyXM2D7eEGcTzp_C7UClw_7_11"/>
      <w:bookmarkStart w:id="341" w:name="Tc_bDEc1PVya0qyZyxFoDOhOw_7_5"/>
      <w:bookmarkStart w:id="342" w:name="Tc_ZDV54LwnS0CGnErKn3TQqg_7_0"/>
      <w:bookmarkStart w:id="343" w:name="Tc_DkvelVwShUK63-CrUONPRg_6_16"/>
      <w:bookmarkStart w:id="344" w:name="Tc_HJBtpaEPx0OtPLjJqZUnaA_6_13"/>
      <w:bookmarkStart w:id="345" w:name="Tc_JQAccBsYYkOiiL_Ma3MDLw_6_10"/>
      <w:bookmarkStart w:id="346" w:name="Tc_bGbsM8GeRUOXQWj66twPfw_6_7"/>
      <w:bookmarkStart w:id="347" w:name="Tc_bvRSYwkAg0yfwWYPOjHbdw_6_4"/>
      <w:bookmarkStart w:id="348" w:name="Tc_u9YOyA0On0WoOu8-lhbcdA_6_0"/>
      <w:bookmarkStart w:id="349" w:name="Tc_BSbTFgq1eEy_0eCE7o8eRQ_5_16"/>
      <w:bookmarkStart w:id="350" w:name="Tc_OLb3acgdRkKxjSF0b0EFjg_5_13"/>
      <w:bookmarkStart w:id="351" w:name="Tc_psW_wEoTBUa8qfRImCOsBg_5_10"/>
      <w:bookmarkStart w:id="352" w:name="Tc_tmVZ4HcMiEi9MeMU5PmUBQ_5_7"/>
      <w:bookmarkStart w:id="353" w:name="Tc_03vdm0Q-Pky89DNZbZ7Uxg_5_4"/>
      <w:bookmarkStart w:id="354" w:name="Tc_z2DGKaWf6UKrcOcM9D-SHA_5_2"/>
      <w:bookmarkStart w:id="355" w:name="Tc_yIiWbJ-gjESEt6h7D2Of4A_4_16"/>
      <w:bookmarkStart w:id="356" w:name="Tc_VPxf7b3OaUu4Ftun4qh8Lw_4_13"/>
      <w:bookmarkStart w:id="357" w:name="Tc_3GuSHvP8mEyCw321tFgp3g_4_10"/>
      <w:bookmarkStart w:id="358" w:name="Tc__9-y2TMgmUSck50gRg8SMA_4_7"/>
      <w:bookmarkStart w:id="359" w:name="Tc_n4o0kgXMA0uAhTsh80R-jQ_4_2"/>
      <w:bookmarkStart w:id="360" w:name="Tc_0in_i7FUZkCN_sIHqy-HZA_3_16"/>
      <w:bookmarkStart w:id="361" w:name="Tc_rLaXlozezUCjslLfa1b78Q_3_10"/>
      <w:bookmarkStart w:id="362" w:name="Tc_B9j8DCpUOEmKWSRTy8l83Q_3_7"/>
      <w:bookmarkStart w:id="363" w:name="Tc_tQpfJdnje0-PCCqBMVi60w_2_10"/>
      <w:bookmarkStart w:id="364" w:name="Tc_6_sRPxUhDESrXHXNJsxeNw_1_2"/>
      <w:bookmarkStart w:id="365" w:name="_2744fd87_5d57_4320_9a2b_319ad7ea27d0"/>
      <w:bookmarkStart w:id="366" w:name="Tc_MTMjxf6AmUK-2Ff5EE1gCg_12_16"/>
      <w:bookmarkStart w:id="367" w:name="Tc_ecsTS470LkuDNz8zCWjodA_12_13"/>
      <w:bookmarkStart w:id="368" w:name="Tc_v-_jkpydPEOQGdAdtY-f3g_12_10"/>
      <w:bookmarkStart w:id="369" w:name="Tc_ppCn_qQ-aUWCM1lUENy-gA_12_7"/>
      <w:bookmarkStart w:id="370" w:name="Tc_cQ1VXZOAkUme_yydrjtyog_12_4"/>
      <w:bookmarkStart w:id="371" w:name="Tc_BHtXRsgtEU2hMdwj_s8eFQ_12_0"/>
      <w:bookmarkStart w:id="372" w:name="Tc_Up7bgsZLeEOdhdVwZO8A3Q_11_11"/>
      <w:bookmarkStart w:id="373" w:name="Tc_cI3GdTehdEeKVo41G8QBTQ_11_8"/>
      <w:bookmarkStart w:id="374" w:name="Tc_U6RGfYjHSkqTBNOgNKIRTA_11_5"/>
      <w:bookmarkStart w:id="375" w:name="Tc_LMJukCL27Um5O4o_AV0cRQ_11_2"/>
      <w:bookmarkStart w:id="376" w:name="Tc_i836nw2AREy1snpidrf0Pg_11_0"/>
      <w:bookmarkStart w:id="377" w:name="Tc_u51CNGZpbECic_d8u6RToA_10_14"/>
      <w:bookmarkStart w:id="378" w:name="Tc_zYX3XjDr50SGsqvarY6b7Q_10_8"/>
      <w:bookmarkStart w:id="379" w:name="Tc_45N1HY8PB0u59VUGJqJtIA_10_5"/>
      <w:bookmarkStart w:id="380" w:name="Tc_BFb-lI_g_0Cv9uMCu_XsvQ_10_2"/>
      <w:bookmarkStart w:id="381" w:name="Tc_b7QEBWvaWk6Usk5B8lDviA_10_0"/>
      <w:bookmarkStart w:id="382" w:name="Tc_Z7AUsbclNEy1VsUu5mdovw_9_14"/>
      <w:bookmarkStart w:id="383" w:name="Tc_X8y0yopcYESCt3bsWynwcw_9_8"/>
      <w:bookmarkStart w:id="384" w:name="Tc_sAZH_Xl2Tk63C7Z26yeZmQ_9_5"/>
      <w:bookmarkStart w:id="385" w:name="Tc_PNRJRwqiJ0u5Tr18nrwmJg_9_2"/>
      <w:bookmarkStart w:id="386" w:name="Tc_wU0S97APBkG4Umgjq3FtiA_9_0"/>
      <w:bookmarkStart w:id="387" w:name="Tc_pRBAyHfi0kmjeYy2ds1xKQ_8_14"/>
      <w:bookmarkStart w:id="388" w:name="Tc_ldgyvGcqwkuerTz4LwSyaw_8_11"/>
      <w:bookmarkStart w:id="389" w:name="Tc_nFAZYN6bBke9qg_miELA7w_8_5"/>
      <w:bookmarkStart w:id="390" w:name="Tc_zGMef39srEueJVB24col9w_8_2"/>
      <w:bookmarkStart w:id="391" w:name="Tc_zhMbWpNH3kONWoSFf4hQRg_8_0"/>
      <w:bookmarkStart w:id="392" w:name="Tc_fiLMMgtYFkerWme5_mf1HA_7_14"/>
      <w:bookmarkStart w:id="393" w:name="Tc_mQyXM2D7eEGcTzp_C7UClw_7_11"/>
      <w:bookmarkStart w:id="394" w:name="Tc_bDEc1PVya0qyZyxFoDOhOw_7_5"/>
      <w:bookmarkStart w:id="395" w:name="Tc_ZDV54LwnS0CGnErKn3TQqg_7_0"/>
      <w:bookmarkStart w:id="396" w:name="Tc_DkvelVwShUK63-CrUONPRg_6_16"/>
      <w:bookmarkStart w:id="397" w:name="Tc_HJBtpaEPx0OtPLjJqZUnaA_6_13"/>
      <w:bookmarkStart w:id="398" w:name="Tc_JQAccBsYYkOiiL_Ma3MDLw_6_10"/>
      <w:bookmarkStart w:id="399" w:name="Tc_bGbsM8GeRUOXQWj66twPfw_6_7"/>
      <w:bookmarkStart w:id="400" w:name="Tc_bvRSYwkAg0yfwWYPOjHbdw_6_4"/>
      <w:bookmarkStart w:id="401" w:name="Tc_u9YOyA0On0WoOu8-lhbcdA_6_0"/>
      <w:bookmarkStart w:id="402" w:name="Tc_BSbTFgq1eEy_0eCE7o8eRQ_5_16"/>
      <w:bookmarkStart w:id="403" w:name="Tc_OLb3acgdRkKxjSF0b0EFjg_5_13"/>
      <w:bookmarkStart w:id="404" w:name="Tc_psW_wEoTBUa8qfRImCOsBg_5_10"/>
      <w:bookmarkStart w:id="405" w:name="Tc_tmVZ4HcMiEi9MeMU5PmUBQ_5_7"/>
      <w:bookmarkStart w:id="406" w:name="Tc_03vdm0Q-Pky89DNZbZ7Uxg_5_4"/>
      <w:bookmarkStart w:id="407" w:name="Tc_z2DGKaWf6UKrcOcM9D-SHA_5_2"/>
      <w:bookmarkStart w:id="408" w:name="Tc_yIiWbJ-gjESEt6h7D2Of4A_4_16"/>
      <w:bookmarkStart w:id="409" w:name="Tc_VPxf7b3OaUu4Ftun4qh8Lw_4_13"/>
      <w:bookmarkStart w:id="410" w:name="Tc_3GuSHvP8mEyCw321tFgp3g_4_10"/>
      <w:bookmarkStart w:id="411" w:name="Tc__9-y2TMgmUSck50gRg8SMA_4_7"/>
      <w:bookmarkStart w:id="412" w:name="Tc_n4o0kgXMA0uAhTsh80R-jQ_4_2"/>
      <w:bookmarkStart w:id="413" w:name="Tc_0in_i7FUZkCN_sIHqy-HZA_3_16"/>
      <w:bookmarkStart w:id="414" w:name="Tc_rLaXlozezUCjslLfa1b78Q_3_10"/>
      <w:bookmarkStart w:id="415" w:name="Tc_B9j8DCpUOEmKWSRTy8l83Q_3_7"/>
      <w:bookmarkStart w:id="416" w:name="Tc_tQpfJdnje0-PCCqBMVi60w_2_10"/>
      <w:bookmarkStart w:id="417" w:name="Tc_6_sRPxUhDESrXHXNJsxeNw_1_2"/>
      <w:bookmarkStart w:id="418" w:name="_2744fd87_5d57_4320_9a2b_319ad7ea27d0"/>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tbl>
      <w:tblPr>
        <w:tblW w:w="10205" w:type="dxa"/>
        <w:jc w:val="left"/>
        <w:tblInd w:w="0" w:type="dxa"/>
        <w:tblLayout w:type="fixed"/>
        <w:tblCellMar>
          <w:top w:w="0" w:type="dxa"/>
          <w:left w:w="0" w:type="dxa"/>
          <w:bottom w:w="0" w:type="dxa"/>
          <w:right w:w="0" w:type="dxa"/>
        </w:tblCellMar>
      </w:tblPr>
      <w:tblGrid>
        <w:gridCol w:w="2797"/>
        <w:gridCol w:w="346"/>
        <w:gridCol w:w="916"/>
        <w:gridCol w:w="346"/>
        <w:gridCol w:w="206"/>
        <w:gridCol w:w="365"/>
        <w:gridCol w:w="346"/>
        <w:gridCol w:w="196"/>
        <w:gridCol w:w="691"/>
        <w:gridCol w:w="346"/>
        <w:gridCol w:w="260"/>
        <w:gridCol w:w="761"/>
        <w:gridCol w:w="346"/>
        <w:gridCol w:w="196"/>
        <w:gridCol w:w="784"/>
        <w:gridCol w:w="346"/>
        <w:gridCol w:w="207"/>
        <w:gridCol w:w="750"/>
      </w:tblGrid>
      <w:tr>
        <w:trPr/>
        <w:tc>
          <w:tcPr>
            <w:tcW w:w="2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776095" cy="175260"/>
                      <wp:effectExtent l="0" t="0" r="0" b="0"/>
                      <wp:wrapNone/>
                      <wp:docPr id="41" name="Frame41"/>
                      <a:graphic xmlns:a="http://schemas.openxmlformats.org/drawingml/2006/main">
                        <a:graphicData uri="http://schemas.microsoft.com/office/word/2010/wordprocessingShape">
                          <wps:wsp>
                            <wps:cNvSpPr txBox="1"/>
                            <wps:spPr>
                              <a:xfrm>
                                <a:off x="0" y="0"/>
                                <a:ext cx="17760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81660" cy="175260"/>
                      <wp:effectExtent l="0" t="0" r="0" b="0"/>
                      <wp:wrapNone/>
                      <wp:docPr id="43" name="Frame4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0810" cy="175260"/>
                      <wp:effectExtent l="0" t="0" r="0" b="0"/>
                      <wp:wrapNone/>
                      <wp:docPr id="45" name="Frame4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31775" cy="175260"/>
                      <wp:effectExtent l="0" t="0" r="0" b="0"/>
                      <wp:wrapNone/>
                      <wp:docPr id="46" name="Frame46"/>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48" name="Frame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38785" cy="175260"/>
                      <wp:effectExtent l="0" t="0" r="0" b="0"/>
                      <wp:wrapNone/>
                      <wp:docPr id="49" name="Frame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65100" cy="175260"/>
                      <wp:effectExtent l="0" t="0" r="0" b="0"/>
                      <wp:wrapNone/>
                      <wp:docPr id="51" name="Frame51"/>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83235" cy="175260"/>
                      <wp:effectExtent l="0" t="0" r="0" b="0"/>
                      <wp:wrapNone/>
                      <wp:docPr id="52" name="Frame52"/>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7840" cy="175260"/>
                      <wp:effectExtent l="0" t="0" r="0" b="0"/>
                      <wp:wrapNone/>
                      <wp:docPr id="55" name="Frame55"/>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1445" cy="175260"/>
                      <wp:effectExtent l="0" t="0" r="0" b="0"/>
                      <wp:wrapNone/>
                      <wp:docPr id="57" name="Frame57"/>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76250" cy="175260"/>
                      <wp:effectExtent l="0" t="0" r="0" b="0"/>
                      <wp:wrapNone/>
                      <wp:docPr id="58" name="Frame58"/>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9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062" w:type="dxa"/>
            <w:gridSpan w:val="16"/>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2025</w:t>
            </w:r>
          </w:p>
        </w:tc>
      </w:tr>
      <w:tr>
        <w:trPr/>
        <w:tc>
          <w:tcPr>
            <w:tcW w:w="279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rPr/>
            </w:pPr>
            <w:r>
              <w:rPr/>
              <w:t>  ​ ​ ​</w:t>
            </w:r>
          </w:p>
        </w:tc>
        <w:tc>
          <w:tcPr>
            <w:tcW w:w="196" w:type="dxa"/>
            <w:tcBorders/>
            <w:vAlign w:val="center"/>
          </w:tcPr>
          <w:p>
            <w:pPr>
              <w:pStyle w:val="TableContents"/>
              <w:bidi w:val="0"/>
              <w:spacing w:lineRule="auto" w:line="285" w:before="0" w:after="0"/>
              <w:ind w:left="0" w:right="0" w:hanging="0"/>
              <w:jc w:val="center"/>
              <w:rPr/>
            </w:pPr>
            <w:r>
              <w:rPr/>
              <w:t>​</w:t>
            </w:r>
          </w:p>
        </w:tc>
        <w:tc>
          <w:tcPr>
            <w:tcW w:w="784"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07" w:type="dxa"/>
            <w:tcBorders/>
            <w:vAlign w:val="center"/>
          </w:tcPr>
          <w:p>
            <w:pPr>
              <w:pStyle w:val="TableContents"/>
              <w:bidi w:val="0"/>
              <w:spacing w:lineRule="auto" w:line="285" w:before="0" w:after="0"/>
              <w:ind w:left="0" w:right="0" w:hanging="0"/>
              <w:jc w:val="center"/>
              <w:rPr/>
            </w:pPr>
            <w:r>
              <w:rPr/>
              <w:t>​</w:t>
            </w:r>
          </w:p>
        </w:tc>
        <w:tc>
          <w:tcPr>
            <w:tcW w:w="750" w:type="dxa"/>
            <w:tcBorders/>
            <w:vAlign w:val="center"/>
          </w:tcPr>
          <w:p>
            <w:pPr>
              <w:pStyle w:val="TableContents"/>
              <w:bidi w:val="0"/>
              <w:spacing w:lineRule="auto" w:line="285" w:before="0" w:after="0"/>
              <w:ind w:left="0" w:right="0" w:hanging="0"/>
              <w:jc w:val="center"/>
              <w:rPr/>
            </w:pPr>
            <w:r>
              <w:rPr/>
              <w:t>​</w:t>
            </w:r>
          </w:p>
        </w:tc>
      </w:tr>
      <w:tr>
        <w:trPr/>
        <w:tc>
          <w:tcPr>
            <w:tcW w:w="279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84"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5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79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3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lineRule="auto" w:line="285" w:before="0" w:after="0"/>
              <w:ind w:left="0" w:right="0" w:hanging="0"/>
              <w:jc w:val="left"/>
              <w:rPr/>
            </w:pPr>
            <w:r>
              <w:rPr/>
              <w:t>​</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lineRule="auto" w:line="285" w:before="0" w:after="0"/>
              <w:ind w:left="0" w:right="0" w:hanging="0"/>
              <w:jc w:val="left"/>
              <w:rPr/>
            </w:pPr>
            <w:r>
              <w:rPr/>
              <w:t>​</w:t>
            </w:r>
          </w:p>
        </w:tc>
        <w:tc>
          <w:tcPr>
            <w:tcW w:w="98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95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279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lineRule="auto" w:line="285"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lineRule="auto" w:line="285" w:before="0" w:after="0"/>
              <w:ind w:left="0" w:right="0" w:hanging="0"/>
              <w:jc w:val="left"/>
              <w:rPr/>
            </w:pPr>
            <w:r>
              <w:rPr/>
              <w:t>  ​ ​ ​</w:t>
            </w:r>
          </w:p>
        </w:tc>
        <w:tc>
          <w:tcPr>
            <w:tcW w:w="9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lineRule="auto" w:line="285" w:before="0" w:after="0"/>
              <w:ind w:left="0" w:right="0" w:hanging="0"/>
              <w:jc w:val="left"/>
              <w:rPr/>
            </w:pPr>
            <w:r>
              <w:rPr/>
              <w:t>  ​ ​ ​</w:t>
            </w:r>
          </w:p>
        </w:tc>
        <w:tc>
          <w:tcPr>
            <w:tcW w:w="9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7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67,899,779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430,859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(1,288)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(397,010)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32,568</w:t>
            </w:r>
          </w:p>
        </w:tc>
      </w:tr>
      <w:tr>
        <w:trPr/>
        <w:tc>
          <w:tcPr>
            <w:tcW w:w="2797"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issued upon exercise of stock options</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269,682</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279</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8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7" w:type="dxa"/>
            <w:tcBorders/>
            <w:vAlign w:val="center"/>
          </w:tcPr>
          <w:p>
            <w:pPr>
              <w:pStyle w:val="TableContents"/>
              <w:bidi w:val="0"/>
              <w:spacing w:lineRule="auto" w:line="285" w:before="0" w:after="0"/>
              <w:ind w:left="0" w:right="0" w:hanging="0"/>
              <w:jc w:val="left"/>
              <w:rPr/>
            </w:pPr>
            <w:r>
              <w:rPr/>
              <w:t>​</w:t>
            </w:r>
          </w:p>
        </w:tc>
        <w:tc>
          <w:tcPr>
            <w:tcW w:w="75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279</w:t>
            </w:r>
          </w:p>
        </w:tc>
      </w:tr>
      <w:tr>
        <w:trPr/>
        <w:tc>
          <w:tcPr>
            <w:tcW w:w="27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8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7" w:type="dxa"/>
            <w:tcBorders/>
            <w:shd w:fill="CCEEFF" w:val="clear"/>
            <w:vAlign w:val="center"/>
          </w:tcPr>
          <w:p>
            <w:pPr>
              <w:pStyle w:val="TableContents"/>
              <w:bidi w:val="0"/>
              <w:spacing w:lineRule="auto" w:line="285" w:before="0" w:after="0"/>
              <w:ind w:left="0" w:right="0" w:hanging="0"/>
              <w:jc w:val="left"/>
              <w:rPr/>
            </w:pPr>
            <w:r>
              <w:rPr/>
              <w:t>​</w:t>
            </w:r>
          </w:p>
        </w:tc>
        <w:tc>
          <w:tcPr>
            <w:tcW w:w="7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1,251</w:t>
            </w:r>
          </w:p>
        </w:tc>
      </w:tr>
      <w:tr>
        <w:trPr/>
        <w:tc>
          <w:tcPr>
            <w:tcW w:w="2797"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8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7" w:type="dxa"/>
            <w:tcBorders/>
            <w:vAlign w:val="center"/>
          </w:tcPr>
          <w:p>
            <w:pPr>
              <w:pStyle w:val="TableContents"/>
              <w:bidi w:val="0"/>
              <w:spacing w:lineRule="auto" w:line="285" w:before="0" w:after="0"/>
              <w:ind w:left="0" w:right="0" w:hanging="0"/>
              <w:jc w:val="left"/>
              <w:rPr/>
            </w:pPr>
            <w:r>
              <w:rPr/>
              <w:t>​</w:t>
            </w:r>
          </w:p>
        </w:tc>
        <w:tc>
          <w:tcPr>
            <w:tcW w:w="75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w:t>
            </w:r>
          </w:p>
        </w:tc>
      </w:tr>
      <w:tr>
        <w:trPr/>
        <w:tc>
          <w:tcPr>
            <w:tcW w:w="27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8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7" w:type="dxa"/>
            <w:tcBorders/>
            <w:shd w:fill="CCEEFF" w:val="clear"/>
            <w:vAlign w:val="center"/>
          </w:tcPr>
          <w:p>
            <w:pPr>
              <w:pStyle w:val="TableContents"/>
              <w:bidi w:val="0"/>
              <w:spacing w:lineRule="auto" w:line="285" w:before="0" w:after="0"/>
              <w:ind w:left="0" w:right="0" w:hanging="0"/>
              <w:jc w:val="left"/>
              <w:rPr/>
            </w:pPr>
            <w:r>
              <w:rPr/>
              <w:t>​</w:t>
            </w:r>
          </w:p>
        </w:tc>
        <w:tc>
          <w:tcPr>
            <w:tcW w:w="7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57</w:t>
            </w:r>
          </w:p>
        </w:tc>
      </w:tr>
      <w:tr>
        <w:trPr/>
        <w:tc>
          <w:tcPr>
            <w:tcW w:w="2797"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15,193</w:t>
            </w:r>
          </w:p>
        </w:tc>
        <w:tc>
          <w:tcPr>
            <w:tcW w:w="346" w:type="dxa"/>
            <w:tcBorders/>
            <w:vAlign w:val="center"/>
          </w:tcPr>
          <w:p>
            <w:pPr>
              <w:pStyle w:val="TableContents"/>
              <w:bidi w:val="0"/>
              <w:spacing w:lineRule="auto" w:line="285"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15,193</w:t>
            </w:r>
          </w:p>
        </w:tc>
      </w:tr>
      <w:tr>
        <w:trPr/>
        <w:tc>
          <w:tcPr>
            <w:tcW w:w="27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68,169,461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432,389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(381,817)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6"/>
              </w:rPr>
            </w:pPr>
            <w:r>
              <w:rPr>
                <w:rFonts w:ascii="Times New Roman;Times;serif" w:hAnsi="Times New Roman;Times;serif"/>
                <w:sz w:val="16"/>
              </w:rPr>
              <w:t>49,325</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center"/>
        <w:rPr>
          <w:rFonts w:ascii="Times New Roman;Times;serif" w:hAnsi="Times New Roman;Times;serif"/>
          <w:b/>
          <w:sz w:val="20"/>
        </w:rPr>
      </w:pPr>
      <w:bookmarkStart w:id="419" w:name="_bee1f476_4323_4b1a_82ae_aafce9d2a210"/>
      <w:bookmarkEnd w:id="419"/>
      <w:r>
        <w:rPr>
          <w:rFonts w:ascii="Times New Roman;Times;serif" w:hAnsi="Times New Roman;Times;serif"/>
          <w:b/>
          <w:sz w:val="20"/>
        </w:rPr>
        <w:t>CORVUS PHARMACEUTICALS, INC.</w:t>
      </w:r>
    </w:p>
    <w:p>
      <w:pPr>
        <w:pStyle w:val="TextBody"/>
        <w:bidi w:val="0"/>
        <w:spacing w:lineRule="auto" w:line="285" w:before="0" w:after="0"/>
        <w:ind w:left="0" w:right="0" w:hanging="0"/>
        <w:jc w:val="center"/>
        <w:rPr>
          <w:rFonts w:ascii="Times New Roman;Times;serif" w:hAnsi="Times New Roman;Times;serif"/>
          <w:b/>
          <w:sz w:val="20"/>
        </w:rPr>
      </w:pPr>
      <w:bookmarkStart w:id="420" w:name="STATEMENTSOFCASHFLOWS_192557"/>
      <w:bookmarkEnd w:id="420"/>
      <w:r>
        <w:rPr>
          <w:rFonts w:ascii="Times New Roman;Times;serif" w:hAnsi="Times New Roman;Times;serif"/>
          <w:b/>
          <w:sz w:val="20"/>
        </w:rPr>
        <w:t>CONDENSED CONSOLIDATED STATEMENTS OF CASH FLOWS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421" w:name="Tc_Fem0uzPCukGpbVva9tmSLw_34_6"/>
      <w:bookmarkStart w:id="422" w:name="Tc_cyVw9GYnkE-VZBR0J9Mltg_34_5"/>
      <w:bookmarkStart w:id="423" w:name="Tc_Xg-CXgqzAk6bhysxScZ44g_34_2"/>
      <w:bookmarkStart w:id="424" w:name="Tc_fb-ssh_ZA0mpNmZm2pHM-A_34_0"/>
      <w:bookmarkStart w:id="425" w:name="Tc_5RvZ8oJXgkOFICRigBnAPA_33_0"/>
      <w:bookmarkStart w:id="426" w:name="Tc_8Od_NcFNVUS-c6r5ZxRTHg_32_5"/>
      <w:bookmarkStart w:id="427" w:name="Tc_dpSULFz1yUWQJpWTSVzLeA_32_2"/>
      <w:bookmarkStart w:id="428" w:name="Tc_mgk6H7EeKU-rnBps603VCQ_32_0"/>
      <w:bookmarkStart w:id="429" w:name="Tc_zZh-9WENcEGK0N-q1xwvzg_31_0"/>
      <w:bookmarkStart w:id="430" w:name="Tc_EM2vMFPp9ESwearWukbYZw_30_0"/>
      <w:bookmarkStart w:id="431" w:name="Tc_0GNjmHBVA0iSvXl8E87V2Q_29_0"/>
      <w:bookmarkStart w:id="432" w:name="Tc_bMEeLODkckOSXj6jj8oFWQ_28_0"/>
      <w:bookmarkStart w:id="433" w:name="Tc_nfx8nxo_v0ac91KuvR0kaQ_27_6"/>
      <w:bookmarkStart w:id="434" w:name="Tc_KkF519eAwESlY_gxwEEheA_27_0"/>
      <w:bookmarkStart w:id="435" w:name="Tc_mg4P4cgp_U-zZ1Ioe2YABg_26_0"/>
      <w:bookmarkStart w:id="436" w:name="Tc_xdfl1gBQ40Sos6yOc6uFbA_25_0"/>
      <w:bookmarkStart w:id="437" w:name="Tc_B6MnVFOK1EWX6dGy2EwtxQ_24_0"/>
      <w:bookmarkStart w:id="438" w:name="Tc_8uZTaOdup0e6mLZoJjvenQ_23_0"/>
      <w:bookmarkStart w:id="439" w:name="Tc_I3ET98z7REqBJ9Ge4hqL3A_22_0"/>
      <w:bookmarkStart w:id="440" w:name="Tc_29VB9oCeiUu3bfh-a513YA_21_0"/>
      <w:bookmarkStart w:id="441" w:name="Tc_gW_vWvaS-0KtW2lyHsM3yw_20_0"/>
      <w:bookmarkStart w:id="442" w:name="Tc__tXA8d3xeEOvIHCp01yk8w_19_0"/>
      <w:bookmarkStart w:id="443" w:name="Tc_PkrjA5DpcUOISar091w-RA_18_0"/>
      <w:bookmarkStart w:id="444" w:name="Tc_vlbgn8QfwEe7ksEExMbffQ_17_0"/>
      <w:bookmarkStart w:id="445" w:name="Tc_zBowPgebJUCwPBYb8zU9AQ_16_0"/>
      <w:bookmarkStart w:id="446" w:name="Tc_dnhaPgDxsUusGsJc89HjXg_15_0"/>
      <w:bookmarkStart w:id="447" w:name="Tc_TUQFNvZwA0-_JWqzDBH0Zg_14_0"/>
      <w:bookmarkStart w:id="448" w:name="Tc_XvRQqoJNIECTbR14gE9WOQ_13_0"/>
      <w:bookmarkStart w:id="449" w:name="Tc_c3v3UlieXEuu2BlCYGO7PQ_12_0"/>
      <w:bookmarkStart w:id="450" w:name="Tc_jy4bZmW24UaSmY3_qrsMAg_11_0"/>
      <w:bookmarkStart w:id="451" w:name="Tc_oUpQITCHO02VWc6vuCl_NA_10_3"/>
      <w:bookmarkStart w:id="452" w:name="Tc_0d6YNN__5UKBi4bpihtPDg_10_0"/>
      <w:bookmarkStart w:id="453" w:name="Tc_EA9UzehzN0C6wMb52rd3LQ_9_0"/>
      <w:bookmarkStart w:id="454" w:name="Tc_hmMRH2A80EeIIVKOLrCv8A_8_0"/>
      <w:bookmarkStart w:id="455" w:name="Tc_vNSouDSs8kuaXw6Le6oKVQ_7_0"/>
      <w:bookmarkStart w:id="456" w:name="Tc_qE9CXBrfcUmRftzq0ByFwg_6_0"/>
      <w:bookmarkStart w:id="457" w:name="Tc_UKcEiNGNNkWGGF9WAwG4_w_5_5"/>
      <w:bookmarkStart w:id="458" w:name="Tc_ZDp3WiETJkCKAo4hkYCmng_5_2"/>
      <w:bookmarkStart w:id="459" w:name="Tc_e66bh6U5H06ulHvDIoqafg_5_0"/>
      <w:bookmarkStart w:id="460" w:name="Tc_lFFC0790vkK84esuZM_1-w_4_0"/>
      <w:bookmarkStart w:id="461" w:name="Tc_GR0oul93GkCFbjmcFX6YnA_3_5"/>
      <w:bookmarkStart w:id="462" w:name="Tc_Sf8Vka4EIE-OoeuIzg5fTw_3_2"/>
      <w:bookmarkStart w:id="463" w:name="Tc_5-Pvyrg-KE6ZQMH5gXVinw_2_2"/>
      <w:bookmarkStart w:id="464" w:name="Tc_kcQxFJxTHkyG0jGvwCARUA_1_2"/>
      <w:bookmarkStart w:id="465" w:name="_4e03dd47_c1b4_4373_940b_d9bcff330daf"/>
      <w:bookmarkStart w:id="466" w:name="Tc_Fem0uzPCukGpbVva9tmSLw_34_6"/>
      <w:bookmarkStart w:id="467" w:name="Tc_cyVw9GYnkE-VZBR0J9Mltg_34_5"/>
      <w:bookmarkStart w:id="468" w:name="Tc_Xg-CXgqzAk6bhysxScZ44g_34_2"/>
      <w:bookmarkStart w:id="469" w:name="Tc_fb-ssh_ZA0mpNmZm2pHM-A_34_0"/>
      <w:bookmarkStart w:id="470" w:name="Tc_5RvZ8oJXgkOFICRigBnAPA_33_0"/>
      <w:bookmarkStart w:id="471" w:name="Tc_8Od_NcFNVUS-c6r5ZxRTHg_32_5"/>
      <w:bookmarkStart w:id="472" w:name="Tc_dpSULFz1yUWQJpWTSVzLeA_32_2"/>
      <w:bookmarkStart w:id="473" w:name="Tc_mgk6H7EeKU-rnBps603VCQ_32_0"/>
      <w:bookmarkStart w:id="474" w:name="Tc_zZh-9WENcEGK0N-q1xwvzg_31_0"/>
      <w:bookmarkStart w:id="475" w:name="Tc_EM2vMFPp9ESwearWukbYZw_30_0"/>
      <w:bookmarkStart w:id="476" w:name="Tc_0GNjmHBVA0iSvXl8E87V2Q_29_0"/>
      <w:bookmarkStart w:id="477" w:name="Tc_bMEeLODkckOSXj6jj8oFWQ_28_0"/>
      <w:bookmarkStart w:id="478" w:name="Tc_nfx8nxo_v0ac91KuvR0kaQ_27_6"/>
      <w:bookmarkStart w:id="479" w:name="Tc_KkF519eAwESlY_gxwEEheA_27_0"/>
      <w:bookmarkStart w:id="480" w:name="Tc_mg4P4cgp_U-zZ1Ioe2YABg_26_0"/>
      <w:bookmarkStart w:id="481" w:name="Tc_xdfl1gBQ40Sos6yOc6uFbA_25_0"/>
      <w:bookmarkStart w:id="482" w:name="Tc_B6MnVFOK1EWX6dGy2EwtxQ_24_0"/>
      <w:bookmarkStart w:id="483" w:name="Tc_8uZTaOdup0e6mLZoJjvenQ_23_0"/>
      <w:bookmarkStart w:id="484" w:name="Tc_I3ET98z7REqBJ9Ge4hqL3A_22_0"/>
      <w:bookmarkStart w:id="485" w:name="Tc_29VB9oCeiUu3bfh-a513YA_21_0"/>
      <w:bookmarkStart w:id="486" w:name="Tc_gW_vWvaS-0KtW2lyHsM3yw_20_0"/>
      <w:bookmarkStart w:id="487" w:name="Tc__tXA8d3xeEOvIHCp01yk8w_19_0"/>
      <w:bookmarkStart w:id="488" w:name="Tc_PkrjA5DpcUOISar091w-RA_18_0"/>
      <w:bookmarkStart w:id="489" w:name="Tc_vlbgn8QfwEe7ksEExMbffQ_17_0"/>
      <w:bookmarkStart w:id="490" w:name="Tc_zBowPgebJUCwPBYb8zU9AQ_16_0"/>
      <w:bookmarkStart w:id="491" w:name="Tc_dnhaPgDxsUusGsJc89HjXg_15_0"/>
      <w:bookmarkStart w:id="492" w:name="Tc_TUQFNvZwA0-_JWqzDBH0Zg_14_0"/>
      <w:bookmarkStart w:id="493" w:name="Tc_XvRQqoJNIECTbR14gE9WOQ_13_0"/>
      <w:bookmarkStart w:id="494" w:name="Tc_c3v3UlieXEuu2BlCYGO7PQ_12_0"/>
      <w:bookmarkStart w:id="495" w:name="Tc_jy4bZmW24UaSmY3_qrsMAg_11_0"/>
      <w:bookmarkStart w:id="496" w:name="Tc_oUpQITCHO02VWc6vuCl_NA_10_3"/>
      <w:bookmarkStart w:id="497" w:name="Tc_0d6YNN__5UKBi4bpihtPDg_10_0"/>
      <w:bookmarkStart w:id="498" w:name="Tc_EA9UzehzN0C6wMb52rd3LQ_9_0"/>
      <w:bookmarkStart w:id="499" w:name="Tc_hmMRH2A80EeIIVKOLrCv8A_8_0"/>
      <w:bookmarkStart w:id="500" w:name="Tc_vNSouDSs8kuaXw6Le6oKVQ_7_0"/>
      <w:bookmarkStart w:id="501" w:name="Tc_qE9CXBrfcUmRftzq0ByFwg_6_0"/>
      <w:bookmarkStart w:id="502" w:name="Tc_UKcEiNGNNkWGGF9WAwG4_w_5_5"/>
      <w:bookmarkStart w:id="503" w:name="Tc_ZDp3WiETJkCKAo4hkYCmng_5_2"/>
      <w:bookmarkStart w:id="504" w:name="Tc_e66bh6U5H06ulHvDIoqafg_5_0"/>
      <w:bookmarkStart w:id="505" w:name="Tc_lFFC0790vkK84esuZM_1-w_4_0"/>
      <w:bookmarkStart w:id="506" w:name="Tc_GR0oul93GkCFbjmcFX6YnA_3_5"/>
      <w:bookmarkStart w:id="507" w:name="Tc_Sf8Vka4EIE-OoeuIzg5fTw_3_2"/>
      <w:bookmarkStart w:id="508" w:name="Tc_5-Pvyrg-KE6ZQMH5gXVinw_2_2"/>
      <w:bookmarkStart w:id="509" w:name="Tc_kcQxFJxTHkyG0jGvwCARUA_1_2"/>
      <w:bookmarkStart w:id="510" w:name="_4e03dd47_c1b4_4373_940b_d9bcff330daf"/>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tbl>
      <w:tblPr>
        <w:tblW w:w="10205" w:type="dxa"/>
        <w:jc w:val="left"/>
        <w:tblInd w:w="0" w:type="dxa"/>
        <w:tblLayout w:type="fixed"/>
        <w:tblCellMar>
          <w:top w:w="0" w:type="dxa"/>
          <w:left w:w="0" w:type="dxa"/>
          <w:bottom w:w="0" w:type="dxa"/>
          <w:right w:w="0" w:type="dxa"/>
        </w:tblCellMar>
      </w:tblPr>
      <w:tblGrid>
        <w:gridCol w:w="7011"/>
        <w:gridCol w:w="346"/>
        <w:gridCol w:w="211"/>
        <w:gridCol w:w="896"/>
        <w:gridCol w:w="346"/>
        <w:gridCol w:w="211"/>
        <w:gridCol w:w="791"/>
        <w:gridCol w:w="393"/>
      </w:tblGrid>
      <w:tr>
        <w:trPr/>
        <w:tc>
          <w:tcPr>
            <w:tcW w:w="7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451985" cy="175260"/>
                      <wp:effectExtent l="0" t="0" r="0" b="0"/>
                      <wp:wrapNone/>
                      <wp:docPr id="59" name="Frame59"/>
                      <a:graphic xmlns:a="http://schemas.openxmlformats.org/drawingml/2006/main">
                        <a:graphicData uri="http://schemas.microsoft.com/office/word/2010/wordprocessingShape">
                          <wps:wsp>
                            <wps:cNvSpPr txBox="1"/>
                            <wps:spPr>
                              <a:xfrm>
                                <a:off x="0" y="0"/>
                                <a:ext cx="4451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68960" cy="175260"/>
                      <wp:effectExtent l="0" t="0" r="0" b="0"/>
                      <wp:wrapNone/>
                      <wp:docPr id="62" name="Frame6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02285" cy="175260"/>
                      <wp:effectExtent l="0" t="0" r="0" b="0"/>
                      <wp:wrapNone/>
                      <wp:docPr id="65" name="Frame6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49555" cy="175260"/>
                      <wp:effectExtent l="0" t="0" r="0" b="0"/>
                      <wp:wrapNone/>
                      <wp:docPr id="66" name="Frame66"/>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01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5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lineRule="auto" w:line="285" w:before="0" w:after="0"/>
              <w:ind w:left="0" w:right="0" w:hanging="0"/>
              <w:jc w:val="left"/>
              <w:rPr/>
            </w:pPr>
            <w:r>
              <w:rPr/>
              <w:t>  ​ ​ ​</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9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1" w:type="dxa"/>
            <w:tcBorders/>
            <w:shd w:fill="CCEEFF" w:val="clear"/>
            <w:vAlign w:val="center"/>
          </w:tcPr>
          <w:p>
            <w:pPr>
              <w:pStyle w:val="TableContents"/>
              <w:bidi w:val="0"/>
              <w:spacing w:lineRule="auto" w:line="285" w:before="0" w:after="0"/>
              <w:ind w:left="0" w:right="0" w:hanging="0"/>
              <w:jc w:val="right"/>
              <w:rPr/>
            </w:pPr>
            <w:r>
              <w:rPr/>
              <w:t>  ​</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(13,692)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15,193</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9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1" w:type="dxa"/>
            <w:tcBorders/>
            <w:shd w:fill="CCEEFF" w:val="clear"/>
            <w:vAlign w:val="center"/>
          </w:tcPr>
          <w:p>
            <w:pPr>
              <w:pStyle w:val="TableContents"/>
              <w:bidi w:val="0"/>
              <w:spacing w:lineRule="auto" w:line="285" w:before="0" w:after="0"/>
              <w:ind w:left="0" w:right="0" w:hanging="0"/>
              <w:jc w:val="right"/>
              <w:rPr/>
            </w:pPr>
            <w:r>
              <w:rPr/>
              <w:t>  ​</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Accretion related to marketable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(25,129)</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equity method investment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9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1" w:type="dxa"/>
            <w:tcBorders/>
            <w:shd w:fill="CCEEFF" w:val="clear"/>
            <w:vAlign w:val="center"/>
          </w:tcPr>
          <w:p>
            <w:pPr>
              <w:pStyle w:val="TableContents"/>
              <w:bidi w:val="0"/>
              <w:spacing w:lineRule="auto" w:line="285" w:before="0" w:after="0"/>
              <w:ind w:left="0" w:right="0" w:hanging="0"/>
              <w:jc w:val="right"/>
              <w:rPr/>
            </w:pPr>
            <w:r>
              <w:rPr/>
              <w:t>  ​</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 - related party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1,168</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(1,274)</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(10,374)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(8,263)</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9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1" w:type="dxa"/>
            <w:tcBorders/>
            <w:vAlign w:val="center"/>
          </w:tcPr>
          <w:p>
            <w:pPr>
              <w:pStyle w:val="TableContents"/>
              <w:bidi w:val="0"/>
              <w:spacing w:lineRule="auto" w:line="285" w:before="0" w:after="0"/>
              <w:ind w:left="0" w:right="0" w:hanging="0"/>
              <w:jc w:val="right"/>
              <w:rPr/>
            </w:pPr>
            <w:r>
              <w:rPr/>
              <w:t>  ​</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(161,737)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(7,708)</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Maturities of marketable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16,982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11,987</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(144,846)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4,243</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9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1" w:type="dxa"/>
            <w:tcBorders/>
            <w:shd w:fill="CCEEFF" w:val="clear"/>
            <w:vAlign w:val="center"/>
          </w:tcPr>
          <w:p>
            <w:pPr>
              <w:pStyle w:val="TableContents"/>
              <w:bidi w:val="0"/>
              <w:spacing w:lineRule="auto" w:line="285" w:before="0" w:after="0"/>
              <w:ind w:left="0" w:right="0" w:hanging="0"/>
              <w:jc w:val="right"/>
              <w:rPr/>
            </w:pPr>
            <w:r>
              <w:rPr/>
              <w:t>  ​</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in connection with follow-on public offering, net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189,407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1" w:type="dxa"/>
            <w:tcBorders/>
            <w:vAlign w:val="center"/>
          </w:tcPr>
          <w:p>
            <w:pPr>
              <w:pStyle w:val="TableContents"/>
              <w:bidi w:val="0"/>
              <w:spacing w:lineRule="auto" w:line="285" w:before="0" w:after="0"/>
              <w:ind w:left="0" w:right="0" w:hanging="0"/>
              <w:jc w:val="righ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common stock options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190,746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35,526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(3,741)</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the period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4,576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8,740</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the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40,102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4,999</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70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disclosures of cash flow information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9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1" w:type="dxa"/>
            <w:tcBorders/>
            <w:vAlign w:val="center"/>
          </w:tcPr>
          <w:p>
            <w:pPr>
              <w:pStyle w:val="TableContents"/>
              <w:bidi w:val="0"/>
              <w:spacing w:lineRule="auto" w:line="285" w:before="0" w:after="0"/>
              <w:ind w:left="0" w:right="0" w:hanging="0"/>
              <w:jc w:val="right"/>
              <w:rPr/>
            </w:pPr>
            <w:r>
              <w:rPr/>
              <w:t>  ​</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70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Offering costs recorded to additional paid-in-capital but not paid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lineRule="auto" w:line="285" w:before="0" w:after="0"/>
              <w:ind w:left="0" w:right="0" w:hanging="0"/>
              <w:jc w:val="right"/>
              <w:rPr/>
            </w:pPr>
            <w:r>
              <w:rPr/>
              <w:t>—</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CORVUS PHARMACEUTICALS, INC.</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511" w:name="NOTESTOCONDENSEDCONSOLIDATEDFINANCIALSTA"/>
      <w:bookmarkEnd w:id="511"/>
      <w:r>
        <w:rPr>
          <w:rFonts w:ascii="Times New Roman;Times;serif" w:hAnsi="Times New Roman;Times;serif"/>
          <w:b/>
          <w:sz w:val="20"/>
        </w:rPr>
        <w:t>NOTES TO CONDENSED CONSOLIDATED FINANCIAL STATEMENTS (unaudited)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 Organization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Corvus Pharmaceuticals, Inc. (“Corvus” or the “Company”) was incorporated in Delaware on January 27, 2014 and commenced operations in November 2014. Corvus is a clinical-stage biopharmaceutical company. The Company’s operations are located in South San Francisco, California.</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Presentation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condensed consolidated financial statements include the accounts of the Company and its wholly-owned subsidiaries, Corvus Biopharmaceuticals, Ltd. and Corvus Hong Kong Limited. All intercompany accounts and transactions have been eliminated from the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Registered Direct Offering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On May 6, 2024, the Company completed a registered direct offering which resulted in gross proceeds of approximately $30.6 million. The financing consisted of the sale of 13,512,699 shares of common stock and accompanying common stock warrants to purchase 13,078,509 shares of common stock (or pre-funded warrants in lieu thereof) at a combined offering price of $1.7312 per share, and the sale of pre-funded warrants to purchase 4,144,085 shares of common stock and accompanying common warrants to purchase 4,010,927 shares of common stock (or pre-funded warrants in lieu thereof) at a combined offering price of $1.7311 per share. The common warrants had an exercise price of $3.50 per share of common stock (or $3.4999 per pre-funded warrant in lieu thereof), were exercisable at any time after the date of issuance, subject to certain ownership limitations, and expired on June 30, 2025. The pre-funded warrants have an exercise price of $0.0001 and are exercisable any time after the date of the issuance, subject to certain ownership limitations. As of June 30, 2025, the expiration date of the common warrants, all of the common warrants had been exercised, resulting in proceeds of $54.3 million.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Follow-on Public Offering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On January 23, 2026, the Company completed a follow-on public offering in which the Company sold 9,085,778 shares of common stock at a price of $22.15 per share, which included 1,185,101 shares issued pursuant to the underwriters’ exercise of their option to purchase additional shares of common stock. The aggregate net proceeds received by the Company from the offering were approximately $189.4 million, net of underwriting discounts and commissions and offering expenses.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risks and uncertainties common to early-stage companies in the biotechnology industry, including, but not limited to, development by competitors of new technological innovations, protection of proprietary technology, dependence on key personnel, contract manufacturer and contract research organizations, compliance with government regulations and the need to obtain additional financing to fund operations. Since commencing operations in 2014, the majority of the Company’s efforts have been focused on the research and development of soquelitinib, ciforadenant and mupadolimab. The Company believes that it will continue to expend substantial resources for the foreseeable future as it continues clinical development of, seek regulatory approval for and, if approved, prepare for the commercialization of soquelitinib, as well as product candidates under the Company’s other development programs. These expenditures will include costs associated with research and development, conducting preclinical studies and clinical trials, obtaining regulatory approvals, manufacturing and supply, sales and marketing and general operations. In addition, other unanticipated costs may arise. Because the outcome of any clinical trial and/or regulatory approval process is highly uncertain, the Company may not be able to accurately estimate the actual amounts necessary to successfully complete the development, regulatory approval process and commercialization of soquelitinib, or any other product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incurred significant losses and negative cash flows from operations in all periods since inception and had an accumulated deficit of $426.0 million as of March 31, 2026. To date, none of the Company’s product candidates have been approved for sale and therefore the Company has not generated any revenue from sales of commercial products. Management expects operating losses to continue for the foreseeable future. The Company has funded its operations to date primarily through the sale of redeemable convertible preferred stock, common stock, pre-funded warrants and common stock warrants. As of March 31, 2026, the Company had cash, cash equivalents and marketable securities of $236.7 million. Management believes that the Company’s current cash, cash equivalents and short-term marketable securities will be sufficient to fund its planned operations for at least the next 12 months from the date of the issuance of these condensed consolidated financial statements. To fund all of the Company's ongoing and planned development programs through commercialization, the Company will need to raise additional capital in the future. The Company intends to raise additional capital through private and public equity offerings, debt financings and license and development agreements. However, there can be no assurance that the Company will be successful in acquiring additional funding at levels sufficient to fund its operations or on terms acceptable to the Company or at all. If the Company is unsuccessful in its efforts to raise additional capital or if sufficient funds on acceptable terms are not available when needed, the Company could be required to significantly reduce operating expenses and delay, reduce the scope of or eliminate one or more of its development programs, out-license intellectual property rights to its product candidates, sell unsecured assets, or a combination of the above, any of which may have a material adverse effect on the Company’s business, results of operations, financial condition and/or its ability to fund its obligations on a timely basis or at all. Failure to manage discretionary spending or raise additional capital, as needed, may adversely impact the Company’s ability to achieve its intended business objectives.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conformity with accounting principles generally accepted in the United States of America (“U.S. GAAP”). The Company’s functional and reporting currency is the U.S. dollar, except for its investment in its equity method investee which is the Chinese renminbi (RMB). The accompanying condensed consolidated financial statements have been prepared on a going-concern basis, which contemplates the realization of assets and discharge of liabilities in the normal course of business.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accompanying interim condensed consolidated financial statements and related disclosures are unaudited, have been prepared on the same basis as the annual financial statements and, in the opinion of management, reflect all adjustments, which include only normal recurring adjustments, necessary for fair statement of the condensed consolidated financial statements presented.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condensed consolidated balance sheet as of December 31, 2025 was derived from audited financial statements, but does not include all disclosures required by GAAP. The condensed consolidated results of operations for the three months ended March 31, 2026 are not necessarily indicative of the results to be expected for the full year or for any other future year or interim period. The accompanying condensed consolidated financial statements should be read in conjunction with the audited financial statements and the related notes for the year ended December 31, 2025 included in the Company’s Annual Report on Form 10-K filed with the SEC on March 12, 2026.</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the Company’s condensed consolidated financial statements in conformity with U.S. GAAP requires management to make estimates and assumptions that affect the amounts reported in the condensed consolidated financial statements and accompanying notes. Actual results could differ from such estimates.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 in Equity Securities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Company uses the equity method of accounting for its equity investment if the investment provides the ability to exercise significant influence, but not control, over operating and financial policies of the investee.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Company’s proportionate share of the net income (loss) resulting from the equity method investment is reported under the line item captioned “income (loss) from equity method investment” in the condensed consolidated statements of operations and comprehensive loss and the carrying value of the equity method investments is reported under the line captioned “Investment in Angel Pharmaceuticals” in the condensed consolidated balance sheets. The Company’s equity method investments are reported at cost and adjusted each period for the Company’s share of the investee’s income or loss and the foreign currency translation adjustment as applicable.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For equity method investees with a functional currency different than the Company’s reporting currency, the Company follows the guidance under Accounting Standards Codification (“ASC”) 830-10-15-5, pursuant to which, the foreign currency financial statements of a foreign investee accounted for by the equity method should be translated to the reporting entity’s reporting currency.</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 evaluates equity method investments for impairment whenever events or changes in circumstances indicate that the carrying amount of the investment might not be recoverable. Factors considered by the Company when reviewing an equity method investment for impairment include the length of time (duration) and the extent (severity) to which the fair value of the equity method investment has been less than cost, the investee’s financial condition and near-term prospects and the intent and ability to hold the investment for a period of time sufficient to allow for anticipated recovery. An impairment that is other-than-temporary is recognized in the period identified.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See Note 6, “Equity Method Investment,” for further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Concentrations of Credit Risk and Other Risks and Uncertainties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Substantially all of the Company’s cash and cash equivalents are deposited in accounts with two financial institutions that management believes are of high credit quality. Such deposits may, at times, exceed federally insured limits. The Company maintains its cash with an accredited financial institution and accordingly, such funds are subject to minimal credit risk. The Company’s marketable securities consist of investments in U.S. Treasury securities and U.S. government agency securities, which can be subject to certain credit risks. However, the Company mitigates the risks by investing in high-grade instruments, limiting its exposure to any one issuer, and monitoring the ongoing creditworthiness of the financial institutions and issuers. The Company has not experienced any losses on its deposits of cash, cash equivalents or marketable securities.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is subject to a number of risks similar to other early stage biopharmaceutical companies, including, but not limited to, the need to obtain adequate additional funding, possible failure of preclinical testing or clinical trials, its reliance on third parties to conduct its clinical trials, the need to obtain marketing approval for its product candidates, competitors developing new technological innovations, the need to successfully commercialize and gain market acceptance of the Company’s product candidates, its right to develop and commercialize its product candidates pursuant to the terms and conditions of the licenses granted to the Company, and protection of proprietary technology. If the Company does not successfully commercialize or partner any of its product candidates, it will be unable to generate product revenue or achieve profitability.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Company’s significant accounting policies during the three months ended March 31, 2026 from those discussed in the Company’s Annual Report on Form 10-K filed with the SEC on March 12,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October 2023, the Financial Accounting Standards Board (the “FASB”) issued ASU 2023-06, Disclosure Improvements: Codification Amendments in Response to the SEC’s Disclosure Update and Simplification Initiative, which modifies the disclosure or presentation requirements related to variety of FASB Accounting Standard Codification topics. The effective date for each amendment will be the date on which the SEC’s removal of that related disclosure from Regulation S-X or Regulation S-K is effective. If by June 30, 2027, the SEC has not removed the applicable requirement from Regulation S-X or Regulation S-K, the pending content of the associated amendment will be removed from the Codification and will not become effective for any entities. The Company is currently evaluating the effect of adopting this ASU.</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the FASB issued ASU 2024-03, Disaggregation of Income Statement Expense. This update requires entities to disaggregate operating expenses into specific categories, such as salaries and wages, depreciation, and amortization, to provide enhanced transparency into the nature and function of expenses. ASU 2024-03 is effective for fiscal years beginning after December 15, 2026, with early adoption permitted. ASU 2024-03 may be applied retrospectively or prospectively. The Company is currently evaluating the impact of ASU 2024-03 on its financial statement presentation and disclosures.</w:t>
      </w:r>
    </w:p>
    <w:p>
      <w:pPr>
        <w:pStyle w:val="TextBody"/>
        <w:bidi w:val="0"/>
        <w:spacing w:lineRule="auto" w:line="285" w:before="0" w:after="0"/>
        <w:ind w:left="0" w:right="0" w:hanging="0"/>
        <w:jc w:val="left"/>
        <w:rPr>
          <w:rFonts w:ascii="Times New Roman;Times;serif" w:hAnsi="Times New Roman;Times;serif"/>
          <w:b/>
          <w:sz w:val="20"/>
        </w:rPr>
      </w:pPr>
      <w:bookmarkStart w:id="512" w:name="Tc_mzsVvYCtsUG0EJazOgPCqA_4_0"/>
      <w:bookmarkStart w:id="513" w:name="Tc_ydJm2gpnAESotT0AD4ubxA_3_4"/>
      <w:bookmarkStart w:id="514" w:name="Tc_a20vkBcyG0aROB4NGwELfg_3_2"/>
      <w:bookmarkStart w:id="515" w:name="Tc_a5SsMPvX0E6r_uIwtXM9Cw_2_2"/>
      <w:bookmarkStart w:id="516" w:name="Tc_MYqiZKzay0m_ekKNY3QDrQ_1_2"/>
      <w:bookmarkStart w:id="517" w:name="Tc_ykws1eMt0kq4GuTZyUhJpw_14_5"/>
      <w:bookmarkStart w:id="518" w:name="Tc_p16NGwYYUkS-PFpHF95zcQ_14_2"/>
      <w:bookmarkStart w:id="519" w:name="Tc__Whmi2LH1Uqi1MD53qQYMw_14_0"/>
      <w:bookmarkStart w:id="520" w:name="Tc_9_fNa2thSkWVD5XLkXujfg_13_5"/>
      <w:bookmarkStart w:id="521" w:name="Tc_U2Rq7LslpkiVigyEkPAEHg_13_2"/>
      <w:bookmarkStart w:id="522" w:name="Tc_o_WtllTAokemuzFne0KJVA_13_0"/>
      <w:bookmarkStart w:id="523" w:name="Tc_-rtTcn7n4EKl6bzzNbuUkA_11_0"/>
      <w:bookmarkStart w:id="524" w:name="Tc_7_sQ85gOMEKUshf1kf85Cg_10_3"/>
      <w:bookmarkStart w:id="525" w:name="Tc_XkDkwZzUCkilipq6MsY_rw_10_0"/>
      <w:bookmarkStart w:id="526" w:name="Tc__JzSvUz8A0atZrRVxh27sw_9_0"/>
      <w:bookmarkStart w:id="527" w:name="Tc_EMWiKwNENU6AZFIDmtwCQw_8_0"/>
      <w:bookmarkStart w:id="528" w:name="Tc_Vl42ON7uqEGOGHhjMKdUxw_7_5"/>
      <w:bookmarkStart w:id="529" w:name="Tc_oyJtUeBh5E2RhuYg2z7Xdw_7_2"/>
      <w:bookmarkStart w:id="530" w:name="Tc_rzokXTZZi0CKR3XycrAQ3A_7_0"/>
      <w:bookmarkStart w:id="531" w:name="Tc_RL1nwHBg1EePzuttnOTuhA_6_3"/>
      <w:bookmarkStart w:id="532" w:name="Tc_q3jIrzB7zEuMCCUBHrxdKw_6_0"/>
      <w:bookmarkStart w:id="533" w:name="Tc_QG8aQ_fUt0y1kMmRB43oMA_5_5"/>
      <w:bookmarkStart w:id="534" w:name="Tc_ddWVCQQbvEKP6YJaDcmh-A_5_2"/>
      <w:bookmarkStart w:id="535" w:name="Tc_iEEFnyx1dkOvkmcL5SHaMQ_5_0"/>
      <w:bookmarkStart w:id="536" w:name="Tc_QhIqAEDXjkibFJlZ508idQ_4_0"/>
      <w:bookmarkStart w:id="537" w:name="Tc_xBXvdGiM-0msl0v6MTU7yQ_3_5"/>
      <w:bookmarkStart w:id="538" w:name="Tc_bkvuVGdhxUS-kErbKGXD_g_3_2"/>
      <w:bookmarkStart w:id="539" w:name="Tc_4C-tI8yOCUCsnTTl3bU6cw_2_2"/>
      <w:bookmarkStart w:id="540" w:name="Tc_p0TXyxWTDUmL0f0wKs1n7w_1_2"/>
      <w:bookmarkStart w:id="541" w:name="_1ef6e51c_4186_41ed_892b_65d25ec57510"/>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r>
        <w:rPr>
          <w:rFonts w:ascii="Times New Roman;Times;serif" w:hAnsi="Times New Roman;Times;serif"/>
          <w:b/>
          <w:sz w:val="20"/>
        </w:rPr>
        <w:t>3. Net Loss per Share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the calculation of net (loss) income per share (in thousands, except share and per share data):</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628"/>
        <w:gridCol w:w="346"/>
        <w:gridCol w:w="211"/>
        <w:gridCol w:w="1036"/>
        <w:gridCol w:w="346"/>
        <w:gridCol w:w="211"/>
        <w:gridCol w:w="1036"/>
        <w:gridCol w:w="391"/>
      </w:tblGrid>
      <w:tr>
        <w:trPr/>
        <w:tc>
          <w:tcPr>
            <w:tcW w:w="6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08780" cy="175260"/>
                      <wp:effectExtent l="0" t="0" r="0" b="0"/>
                      <wp:wrapNone/>
                      <wp:docPr id="67" name="Frame67"/>
                      <a:graphic xmlns:a="http://schemas.openxmlformats.org/drawingml/2006/main">
                        <a:graphicData uri="http://schemas.microsoft.com/office/word/2010/wordprocessingShape">
                          <wps:wsp>
                            <wps:cNvSpPr txBox="1"/>
                            <wps:spPr>
                              <a:xfrm>
                                <a:off x="0" y="0"/>
                                <a:ext cx="4208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57860" cy="175260"/>
                      <wp:effectExtent l="0" t="0" r="0" b="0"/>
                      <wp:wrapNone/>
                      <wp:docPr id="70" name="Frame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57860" cy="175260"/>
                      <wp:effectExtent l="0" t="0" r="0" b="0"/>
                      <wp:wrapNone/>
                      <wp:docPr id="73" name="Frame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48285" cy="175260"/>
                      <wp:effectExtent l="0" t="0" r="0" b="0"/>
                      <wp:wrapNone/>
                      <wp:docPr id="74" name="Frame7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62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lineRule="auto" w:line="285" w:before="0" w:after="0"/>
              <w:ind w:left="0" w:right="0" w:hanging="0"/>
              <w:jc w:val="center"/>
              <w:rPr/>
            </w:pPr>
            <w:r>
              <w:rPr/>
              <w:t>​</w:t>
            </w:r>
          </w:p>
        </w:tc>
      </w:tr>
      <w:tr>
        <w:trPr/>
        <w:tc>
          <w:tcPr>
            <w:tcW w:w="662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lineRule="auto" w:line="285" w:before="0" w:after="0"/>
              <w:ind w:left="0" w:right="0" w:hanging="0"/>
              <w:jc w:val="center"/>
              <w:rPr/>
            </w:pPr>
            <w:r>
              <w:rPr/>
              <w:t>​</w:t>
            </w:r>
          </w:p>
        </w:tc>
      </w:tr>
      <w:tr>
        <w:trPr/>
        <w:tc>
          <w:tcPr>
            <w:tcW w:w="662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66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2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 basic</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(13,692)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15,193</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Gain from 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(25,129)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2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 basic and diluted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(13,692)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(9,936)</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2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and pre-funded warrants outstanding used to compute basic and diluted net (loss) income per share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89,996,728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72,126,496</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issuable upon the exercise of common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3,026,018</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2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and prefunded warrants outstanding used to compute diluted net loss per share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89,996,728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75,152,514</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2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2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income per share, basic</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per share, 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Weighted average common shares outstanding used in the calculation of basic and diluted net loss per share for the three months ended March 31, 2026 and 2025 includes 8,275,913 and 4,144,085 shares of common stock issuable upon conversion of pre-funded warrants, respectively. Refer to Note 9, “Warrants” for further details.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Shares issuable upon exercise of common warrants used in the calculation of diluted net loss per share for the three months ended March 31, 2025 were calculated using the treasury stock method.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amounts in the table below were excluded from the calculation of diluted net loss per share, due to their anti-dilutive effect:</w:t>
      </w:r>
    </w:p>
    <w:p>
      <w:pPr>
        <w:pStyle w:val="TextBody"/>
        <w:bidi w:val="0"/>
        <w:spacing w:lineRule="auto" w:line="285" w:before="0" w:after="0"/>
        <w:ind w:left="0" w:right="0" w:firstLine="720"/>
        <w:jc w:val="left"/>
        <w:rPr/>
      </w:pPr>
      <w:r>
        <w:rPr/>
        <w:t>​</w:t>
      </w:r>
    </w:p>
    <w:tbl>
      <w:tblPr>
        <w:tblW w:w="4941" w:type="dxa"/>
        <w:jc w:val="left"/>
        <w:tblInd w:w="0" w:type="dxa"/>
        <w:tblLayout w:type="fixed"/>
        <w:tblCellMar>
          <w:top w:w="0" w:type="dxa"/>
          <w:left w:w="0" w:type="dxa"/>
          <w:bottom w:w="0" w:type="dxa"/>
          <w:right w:w="0" w:type="dxa"/>
        </w:tblCellMar>
      </w:tblPr>
      <w:tblGrid>
        <w:gridCol w:w="1786"/>
        <w:gridCol w:w="346"/>
        <w:gridCol w:w="1036"/>
        <w:gridCol w:w="346"/>
        <w:gridCol w:w="1036"/>
        <w:gridCol w:w="39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134110" cy="175260"/>
                      <wp:effectExtent l="0" t="0" r="0" b="0"/>
                      <wp:wrapNone/>
                      <wp:docPr id="75" name="Frame75"/>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57860" cy="175260"/>
                      <wp:effectExtent l="0" t="0" r="0" b="0"/>
                      <wp:wrapNone/>
                      <wp:docPr id="77" name="Frame7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57860" cy="175260"/>
                      <wp:effectExtent l="0" t="0" r="0" b="0"/>
                      <wp:wrapNone/>
                      <wp:docPr id="79" name="Frame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48285" cy="175260"/>
                      <wp:effectExtent l="0" t="0" r="0" b="0"/>
                      <wp:wrapNone/>
                      <wp:docPr id="80" name="Frame8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8"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8"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17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options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13,066,326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11,575,683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542" w:name="Tc_fCq604Fi4ESMR30kNCmlkQ_13_5"/>
      <w:bookmarkStart w:id="543" w:name="Tc_cQc8PJztmECABTh1cctCGg_13_2"/>
      <w:bookmarkStart w:id="544" w:name="Tc_Dm86UkEbwkmP6dcvKBMF-w_13_0"/>
      <w:bookmarkStart w:id="545" w:name="Tc_ll9T9CF4I0-Ks02_N-IMeQ_12_0"/>
      <w:bookmarkStart w:id="546" w:name="Tc_-LuZdOHM4EG4uu9XMQC03g_11_0"/>
      <w:bookmarkStart w:id="547" w:name="Tc_2Rvtuz8UbE2aIbETZQfccQ_10_0"/>
      <w:bookmarkStart w:id="548" w:name="Tc_iv-9DdVbqkCykiTa5b5ojQ_9_0"/>
      <w:bookmarkStart w:id="549" w:name="Tc_1b7aZcdyhk2snIDys_K9Fw_8_0"/>
      <w:bookmarkStart w:id="550" w:name="Tc_vvTbFH5tsku1KAsBbUv4fQ_7_0"/>
      <w:bookmarkStart w:id="551" w:name="Tc_-5Z20GPOu0-apkesi6fNBQ_6_0"/>
      <w:bookmarkStart w:id="552" w:name="Tc_JgpqbfDdX0-RoQLa84HElw_5_0"/>
      <w:bookmarkStart w:id="553" w:name="Tc_YKvA2tZ6nUm0vWfM1OOxdA_4_5"/>
      <w:bookmarkStart w:id="554" w:name="Tc_1Ud0frqSREC1sQmpX0Vw6g_4_2"/>
      <w:bookmarkStart w:id="555" w:name="Tc_2X4mB13jgEa1JI71pC-UMQ_4_0"/>
      <w:bookmarkStart w:id="556" w:name="Tc_GjEy-ga_JEiYQsQ3W-Kdrg_3_5"/>
      <w:bookmarkStart w:id="557" w:name="Tc_npG6bnB1u0mNzoXCTRPdmQ_3_2"/>
      <w:bookmarkStart w:id="558" w:name="Tc_GXG3yyKf90e9e3Co7H-fag_2_2"/>
      <w:bookmarkStart w:id="559" w:name="Tc_A9ooev71B0O0V5Y7bGdrTQ_1_2"/>
      <w:bookmarkStart w:id="560" w:name="_efaf009d_6ce2_4fcd_a5ec_0e9e40f9e02f"/>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r>
        <w:rPr>
          <w:rFonts w:ascii="Times New Roman;Times;serif" w:hAnsi="Times New Roman;Times;serif"/>
          <w:b/>
          <w:sz w:val="20"/>
        </w:rPr>
        <w:t>4. Segments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 views its operations and manages its business in one operating segment, that of the development and commercialization of drugs and antibodies that target critical elements of the immune system. The Company’s Chief Operating Decision Maker (“CODM”) is made up of the Chief Executive Officer and Chief Financial Officer. The CODM assesses performance for the segment and decides how to allocate resources based on consolidated net loss that is reported on the consolidated statement of operations and comprehensive loss. The measure of segment assets is reported on the balance sheet as total consolidated assets. Managing and allocating resources on a consolidated basis enables the CODM to assess the overall level of resources available and how to best deploy these resources across functions and programs that are in line with the Company’s long-term company-wide strategic goals.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reportable segment net loss, including significant expense categories, attributable to the Company’s reportable segment for the three months ended March 31, 2026 and 2025 (in thousands):</w:t>
      </w:r>
    </w:p>
    <w:p>
      <w:pPr>
        <w:pStyle w:val="TextBody"/>
        <w:bidi w:val="0"/>
        <w:spacing w:lineRule="auto" w:line="285" w:before="0" w:after="0"/>
        <w:ind w:left="0" w:right="0" w:hanging="0"/>
        <w:jc w:val="left"/>
        <w:rPr/>
      </w:pPr>
      <w:r>
        <w:rPr/>
        <w:t>​</w:t>
      </w:r>
    </w:p>
    <w:tbl>
      <w:tblPr>
        <w:tblW w:w="8201" w:type="dxa"/>
        <w:jc w:val="left"/>
        <w:tblInd w:w="0" w:type="dxa"/>
        <w:tblLayout w:type="fixed"/>
        <w:tblCellMar>
          <w:top w:w="0" w:type="dxa"/>
          <w:left w:w="0" w:type="dxa"/>
          <w:bottom w:w="0" w:type="dxa"/>
          <w:right w:w="0" w:type="dxa"/>
        </w:tblCellMar>
      </w:tblPr>
      <w:tblGrid>
        <w:gridCol w:w="5446"/>
        <w:gridCol w:w="109"/>
        <w:gridCol w:w="211"/>
        <w:gridCol w:w="691"/>
        <w:gridCol w:w="346"/>
        <w:gridCol w:w="211"/>
        <w:gridCol w:w="796"/>
        <w:gridCol w:w="391"/>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458210" cy="175260"/>
                      <wp:effectExtent l="0" t="0" r="0" b="0"/>
                      <wp:wrapNone/>
                      <wp:docPr id="81" name="Frame81"/>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38785" cy="175260"/>
                      <wp:effectExtent l="0" t="0" r="0" b="0"/>
                      <wp:wrapNone/>
                      <wp:docPr id="84" name="Frame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5460" cy="175260"/>
                      <wp:effectExtent l="0" t="0" r="0" b="0"/>
                      <wp:wrapNone/>
                      <wp:docPr id="87" name="Frame8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48285" cy="175260"/>
                      <wp:effectExtent l="0" t="0" r="0" b="0"/>
                      <wp:wrapNone/>
                      <wp:docPr id="88" name="Frame8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22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54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54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54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 excluding stock-based compensation</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3,027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2,239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54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54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Drug manufacturing</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1,830</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54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trials</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5,043</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1,927</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54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Outside general and administrative</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54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insurance</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558</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54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segment items (1)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54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segment expense</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14,877</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9,922</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54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Non-operating income, net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(25,115)</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54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13,692</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(15,193)</w:t>
            </w:r>
          </w:p>
        </w:tc>
        <w:tc>
          <w:tcPr>
            <w:tcW w:w="391" w:type="dxa"/>
            <w:tcBorders/>
            <w:vAlign w:val="center"/>
          </w:tcPr>
          <w:p>
            <w:pPr>
              <w:pStyle w:val="TableContents"/>
              <w:bidi w:val="0"/>
              <w:spacing w:lineRule="auto" w:line="285" w:before="0" w:after="0"/>
              <w:ind w:left="0" w:right="0" w:hanging="0"/>
              <w:jc w:val="left"/>
              <w:rPr/>
            </w:pPr>
            <w:r>
              <w:rPr/>
              <w:t>​</w:t>
            </w:r>
          </w:p>
        </w:tc>
      </w:tr>
    </w:tbl>
    <w:tbl>
      <w:tblPr>
        <w:tblW w:w="5147" w:type="dxa"/>
        <w:jc w:val="left"/>
        <w:tblInd w:w="0" w:type="dxa"/>
        <w:tblLayout w:type="fixed"/>
        <w:tblCellMar>
          <w:top w:w="0" w:type="dxa"/>
          <w:left w:w="0" w:type="dxa"/>
          <w:bottom w:w="0" w:type="dxa"/>
          <w:right w:w="0" w:type="dxa"/>
        </w:tblCellMar>
      </w:tblPr>
      <w:tblGrid>
        <w:gridCol w:w="331"/>
        <w:gridCol w:w="481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48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consulting, non-clinical research and laboratory supplies.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5. Fair Value Measurements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Financial assets and liabilities are measured and recorded at fair value. The Company is required to disclose information on all assets and liabilities reported at fair value that enables an assessment of the inputs used in determining the reported fair values. The fair value hierarchy prioritizes valuation inputs based on the observable nature of those inputs. The fair value hierarchy applies only to the valuation inputs used in determining the reported fair value of the investments and is not a measure of the investment credit quality. The hierarchy defines three levels of valuation inputs:</w:t>
      </w:r>
    </w:p>
    <w:p>
      <w:pPr>
        <w:pStyle w:val="TextBody"/>
        <w:bidi w:val="0"/>
        <w:spacing w:lineRule="auto" w:line="285" w:before="0" w:after="0"/>
        <w:ind w:left="0" w:right="0" w:hanging="0"/>
        <w:jc w:val="left"/>
        <w:rPr/>
      </w:pPr>
      <w:r>
        <w:rPr/>
        <w:t>​</w:t>
      </w:r>
    </w:p>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tc>
      </w:tr>
    </w:tbl>
    <w:p>
      <w:pPr>
        <w:pStyle w:val="TextBody"/>
        <w:bidi w:val="0"/>
        <w:spacing w:lineRule="auto" w:line="285" w:before="0" w:after="0"/>
        <w:ind w:left="72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quoted prices included within Level 1 that are observable for the asset or liability, either directly or indirectly</w:t>
            </w:r>
          </w:p>
        </w:tc>
      </w:tr>
    </w:tbl>
    <w:p>
      <w:pPr>
        <w:pStyle w:val="TextBody"/>
        <w:bidi w:val="0"/>
        <w:spacing w:lineRule="auto" w:line="285" w:before="0" w:after="0"/>
        <w:ind w:left="72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that reflect the Company’s own assumptions about the assumptions market participants would use in pricing the asset or liability</w:t>
            </w:r>
          </w:p>
        </w:tc>
      </w:tr>
    </w:tbl>
    <w:p>
      <w:pPr>
        <w:pStyle w:val="TextBody"/>
        <w:bidi w:val="0"/>
        <w:spacing w:lineRule="auto" w:line="285" w:before="0" w:after="0"/>
        <w:ind w:left="72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There have been no transfers of assets and liabilities between levels of hierarchy.</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561" w:name="Tc_40EjROeZCkeh4i5GohNEWQ_6_8"/>
      <w:bookmarkStart w:id="562" w:name="Tc_hHjkbfpeNUOMrFAkO9YSmg_6_5"/>
      <w:bookmarkStart w:id="563" w:name="Tc_stCsxBtj2kCaJtQ0ETzx5w_6_2"/>
      <w:bookmarkStart w:id="564" w:name="Tc_33RX8_tXrEiCxCpAL55zVQ_5_0"/>
      <w:bookmarkStart w:id="565" w:name="Tc_ftZ-5iMvrkO7ahDEPL4QpA_4_8"/>
      <w:bookmarkStart w:id="566" w:name="Tc_iJnlyMuj8EGEypqc-d4hVA_4_5"/>
      <w:bookmarkStart w:id="567" w:name="Tc_AZv65xw-6E-1LkZzq5fBOA_4_2"/>
      <w:bookmarkStart w:id="568" w:name="Tc_r1XxsXTPBkycH16BSANMUw_4_0"/>
      <w:bookmarkStart w:id="569" w:name="Tc_a_6K-b4Dck6S_8GVUtRy7g_3_8"/>
      <w:bookmarkStart w:id="570" w:name="Tc_Rd5RoqlU3UuLLmZS0vvpYA_3_5"/>
      <w:bookmarkStart w:id="571" w:name="Tc_QKawLEDhjECWQ-MWZE8OvA_3_2"/>
      <w:bookmarkStart w:id="572" w:name="Tc_sVzMckwE50OcCwnsD0HuMg_2_5"/>
      <w:bookmarkStart w:id="573" w:name="Tc_OjoTYc6tNEGpL4vGnDGtSA_1_2"/>
      <w:bookmarkStart w:id="574" w:name="_84c70dbf_3ce3_4eff_8c3d_996edd911d3a"/>
      <w:bookmarkStart w:id="575" w:name="Tc_zNVJ62nyYESO3mp4ICounQ_7_11"/>
      <w:bookmarkStart w:id="576" w:name="Tc_EKZhYO7BwkCvwvVPnpkrBw_7_9"/>
      <w:bookmarkStart w:id="577" w:name="Tc_wrNYnz5jkUCX1gy_gfVjtQ_7_8"/>
      <w:bookmarkStart w:id="578" w:name="Tc_wRTrQ_8qtE-kTLYcm6e1DQ_7_5"/>
      <w:bookmarkStart w:id="579" w:name="Tc_3-cHwFvuXUWJ02A5Yy7dNw_7_2"/>
      <w:bookmarkStart w:id="580" w:name="Tc_F1StBSsyzU-RfRBNtuFm6Q_6_9"/>
      <w:bookmarkStart w:id="581" w:name="Tc_3vfcW0BK4UKTGd-eeUoVhg_6_0"/>
      <w:bookmarkStart w:id="582" w:name="Tc_L09Mt0tnvk-gO8tiNsDupQ_5_11"/>
      <w:bookmarkStart w:id="583" w:name="Tc_AvWkpcpPPkC_UnlcB8niSA_5_9"/>
      <w:bookmarkStart w:id="584" w:name="Tc_ltQJuYH1D0ijUgMtVCH-6g_5_8"/>
      <w:bookmarkStart w:id="585" w:name="Tc_8uv9DyrH3kaSelQEj95W3g_5_5"/>
      <w:bookmarkStart w:id="586" w:name="Tc_6krZde-1DESt_GjonWxHgg_5_2"/>
      <w:bookmarkStart w:id="587" w:name="Tc_sAgxVXfDcEyb7Unfr-HGBQ_5_0"/>
      <w:bookmarkStart w:id="588" w:name="Tc_4WOJvE7UIkqIw1D2CV1qdw_4_11"/>
      <w:bookmarkStart w:id="589" w:name="Tc_H4yJVny1V0aQqjnXhgZAzA_4_8"/>
      <w:bookmarkStart w:id="590" w:name="Tc_OA6bJeTO7kCodTJYjR8vAQ_4_5"/>
      <w:bookmarkStart w:id="591" w:name="Tc_6GCVQ7M8tEiFzA-oNZXULA_4_2"/>
      <w:bookmarkStart w:id="592" w:name="Tc_cAmcsGPwa0iWzc5HfmZ3uw_3_11"/>
      <w:bookmarkStart w:id="593" w:name="Tc_naC4ygQcHE-sqvxvhXxJyA_3_8"/>
      <w:bookmarkStart w:id="594" w:name="Tc_8H1ORZMlakSloK5P0zX4JQ_3_5"/>
      <w:bookmarkStart w:id="595" w:name="Tc_SoBFQKZGxUaf55-Zg3t6zA_3_2"/>
      <w:bookmarkStart w:id="596" w:name="Tc_iyhXbuPVgEugcB17EJsvMA_2_8"/>
      <w:bookmarkStart w:id="597" w:name="Tc_l0ednyGjLUCL0WjLomTv0w_2_5"/>
      <w:bookmarkStart w:id="598" w:name="Tc_N9OSLOhN8kupNQINRNHwZQ_1_2"/>
      <w:bookmarkStart w:id="599" w:name="_0c927464_7784_4845_9a92_7d2993ee0c7e"/>
      <w:bookmarkStart w:id="600" w:name="Tc_3cb38PVAdESE6tFywUlUbw_7_11"/>
      <w:bookmarkStart w:id="601" w:name="Tc_rtWItigXU0mm2CRjbSUz_w_7_8"/>
      <w:bookmarkStart w:id="602" w:name="Tc_aRbmXxRJPUeQSzIswHOnTA_7_5"/>
      <w:bookmarkStart w:id="603" w:name="Tc_5EDj-2Wcf0Wesw57aDuxkQ_7_2"/>
      <w:bookmarkStart w:id="604" w:name="Tc_f_3aTQuLMEOCIp2kdUGeYg_6_0"/>
      <w:bookmarkStart w:id="605" w:name="Tc_F9t0WTpvNkGqvnT7j9Qq4w_5_11"/>
      <w:bookmarkStart w:id="606" w:name="Tc_ZslIz5Ted0OvR5GFKQ-jQA_5_8"/>
      <w:bookmarkStart w:id="607" w:name="Tc_kkt4gdd8IEe9HH4XIp4Stw_5_5"/>
      <w:bookmarkStart w:id="608" w:name="Tc_CxuEwlYE7UqNzP6UESeVCw_5_2"/>
      <w:bookmarkStart w:id="609" w:name="Tc_vvefLIljYUmyzxd-yMD8ig_5_0"/>
      <w:bookmarkStart w:id="610" w:name="Tc_o6hvCaJfT0q0vMXPn8Wyfw_4_11"/>
      <w:bookmarkStart w:id="611" w:name="Tc_cCwfgcfmKUCm5KwIXXV9aA_4_8"/>
      <w:bookmarkStart w:id="612" w:name="Tc_q9lc2jrVYU27shk1yOJKrA_4_5"/>
      <w:bookmarkStart w:id="613" w:name="Tc_Fw8t7LbIrky-WB95FQw7JQ_4_2"/>
      <w:bookmarkStart w:id="614" w:name="Tc_MdV5o2gk5UqP8gziGNAf4A_3_11"/>
      <w:bookmarkStart w:id="615" w:name="Tc_MEKcEXf-IkeKmvQPqbXkQQ_3_8"/>
      <w:bookmarkStart w:id="616" w:name="Tc_TJdkSNyBwkCzJlZii7p4FQ_3_5"/>
      <w:bookmarkStart w:id="617" w:name="Tc_t5OQdrFJGUyzDmcBiw9-ZA_3_2"/>
      <w:bookmarkStart w:id="618" w:name="Tc_cKMfDfElukehYclRaIk2Vg_2_8"/>
      <w:bookmarkStart w:id="619" w:name="Tc_9uVfFQSBGEWmI-9VmxXo-g_2_5"/>
      <w:bookmarkStart w:id="620" w:name="Tc_IQJxQUPsY0ivj7cmC2E4Ww_1_2"/>
      <w:bookmarkStart w:id="621" w:name="_556044ce_7c46_4fa9_bb4b_38bae74c6d7d"/>
      <w:bookmarkStart w:id="622" w:name="Tc_BAyJA5wTpEyz9X0JoCStIQ_7_11"/>
      <w:bookmarkStart w:id="623" w:name="Tc_8izKBAze_Uivb8I1qC1kcg_7_9"/>
      <w:bookmarkStart w:id="624" w:name="Tc_EcKoAd6-ZE643LZOCEBLGQ_7_8"/>
      <w:bookmarkStart w:id="625" w:name="Tc_xzIcVAnNXkGDJ1eBfh5MLA_7_5"/>
      <w:bookmarkStart w:id="626" w:name="Tc_i03VUnVAgUq7SuxC0Sju_g_7_2"/>
      <w:bookmarkStart w:id="627" w:name="Tc_sF5_iOfZSUqf8YFAEaW4vA_6_9"/>
      <w:bookmarkStart w:id="628" w:name="Tc_svJp1ogbR0Wqg3NNE7fzPQ_6_3"/>
      <w:bookmarkStart w:id="629" w:name="Tc_2Clp0HAjb0GJS6wm8PRjwQ_6_0"/>
      <w:bookmarkStart w:id="630" w:name="Tc_4fgzKiObG0ObvgMthPii5w_5_11"/>
      <w:bookmarkStart w:id="631" w:name="Tc_HPc-JkJqAkSQUgHfbwiLJg_5_9"/>
      <w:bookmarkStart w:id="632" w:name="Tc_iZNTxlDLCEqUpInxBZ1bWg_5_8"/>
      <w:bookmarkStart w:id="633" w:name="Tc_JP-XhouvOUS_44dwNN9j_g_5_6"/>
      <w:bookmarkStart w:id="634" w:name="Tc_rwTV9gzEhkqsIuZoL9Qrjw_5_5"/>
      <w:bookmarkStart w:id="635" w:name="Tc_aHuZ0RIXN0mwXcMZZQZFBA_5_2"/>
      <w:bookmarkStart w:id="636" w:name="Tc_s3si7EH2qECORn3-6kCeLQ_5_0"/>
      <w:bookmarkStart w:id="637" w:name="Tc_TZAxMqR35USjXnZLDKGGzQ_4_0"/>
      <w:bookmarkStart w:id="638" w:name="Tc_9UiPbZrYU0CLjzMuRa_5KA_3_11"/>
      <w:bookmarkStart w:id="639" w:name="Tc_c2PP-PorzUWse7ObqOiQXg_3_8"/>
      <w:bookmarkStart w:id="640" w:name="Tc_2b8Z2_rnoUqsGWw8Aw09tA_3_5"/>
      <w:bookmarkStart w:id="641" w:name="Tc_dcv_vza9fUqEG5M6qWyu2g_3_2"/>
      <w:bookmarkStart w:id="642" w:name="Tc_k35t6KIUqEOP3cPrTi74rA_2_11"/>
      <w:bookmarkStart w:id="643" w:name="Tc_IhLlVktwUE-O-BX0I-O04g_2_2"/>
      <w:bookmarkStart w:id="644" w:name="Tc_Xf1Ixd73b0mc-8GxknqPLA_1_2"/>
      <w:bookmarkStart w:id="645" w:name="_5c1dd3ec_1269_4ec7_bcb1_75242d62396c"/>
      <w:bookmarkStart w:id="646" w:name="Tc_62l2dH3CIkyC-yJ5mIfnsw_7_11"/>
      <w:bookmarkStart w:id="647" w:name="Tc_lJdlX-Whj0uOQl78wMB9jw_7_9"/>
      <w:bookmarkStart w:id="648" w:name="Tc_pQKRLHKu9ECOq6IJactTag_7_8"/>
      <w:bookmarkStart w:id="649" w:name="Tc_2pqVXWfQ_EyDJQIUlSNIng_7_5"/>
      <w:bookmarkStart w:id="650" w:name="Tc__QamFaZPbE-OwdEIGdCC1g_7_2"/>
      <w:bookmarkStart w:id="651" w:name="Tc_GwiLyQbaHkSXy-9_HlAqCQ_6_9"/>
      <w:bookmarkStart w:id="652" w:name="Tc_fu_zxKhexUuLZVt90K8hjQ_6_3"/>
      <w:bookmarkStart w:id="653" w:name="Tc_TDUYZP5H0UGGESguyuOaOA_6_0"/>
      <w:bookmarkStart w:id="654" w:name="Tc_5bfXk6VT30uDMc9mo9l5lA_5_11"/>
      <w:bookmarkStart w:id="655" w:name="Tc_u-qZcWjIwUiBjp1cZW0t3w_5_9"/>
      <w:bookmarkStart w:id="656" w:name="Tc_kbk-FBLs6k-N2tvy0VHOjg_5_8"/>
      <w:bookmarkStart w:id="657" w:name="Tc_p-SO3O7LcEuCPCkXGfu-Qg_5_6"/>
      <w:bookmarkStart w:id="658" w:name="Tc_02qFSs8imE2hOOUxc2p9pg_5_5"/>
      <w:bookmarkStart w:id="659" w:name="Tc_HQKaMOHFZUiXdaFONdCpmA_5_2"/>
      <w:bookmarkStart w:id="660" w:name="Tc_lDfL4FXU-U6WOWN6bVw6Vg_5_0"/>
      <w:bookmarkStart w:id="661" w:name="Tc_XEwOIurE3ES1jHtJRLvzkQ_4_0"/>
      <w:bookmarkStart w:id="662" w:name="Tc_vsoMuR0KtkS_jBm2uDlibA_3_11"/>
      <w:bookmarkStart w:id="663" w:name="Tc_cTyBjR75BESUK1AXqLMLQw_3_8"/>
      <w:bookmarkStart w:id="664" w:name="Tc_LqazaQQdf0idIUCe5V6U7Q_3_5"/>
      <w:bookmarkStart w:id="665" w:name="Tc_-z03kYnXQUmJAeu8N79jaA_3_2"/>
      <w:bookmarkStart w:id="666" w:name="Tc_NzDPcnYLv0GVw3ZURsKYKw_2_11"/>
      <w:bookmarkStart w:id="667" w:name="Tc_sGl0E07YYUOOmFlb2eEqLw_2_2"/>
      <w:bookmarkStart w:id="668" w:name="Tc_E4wc28Vl0EOH-yLoo6jBpg_1_2"/>
      <w:bookmarkStart w:id="669" w:name="_b9d6e4c9_0f48_496a_88cd_6f7625fbc35f"/>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Pr>
          <w:rFonts w:ascii="Times New Roman;Times;serif" w:hAnsi="Times New Roman;Times;serif"/>
          <w:sz w:val="20"/>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present information as of March 31, 2026 and December 31, 2025 about the Company’s assets that are measured at fair value on a recurring basis and indicate the level of the fair value hierarchy the Company utilized to determine such fair values (in thousands):</w:t>
      </w:r>
    </w:p>
    <w:p>
      <w:pPr>
        <w:pStyle w:val="TextBody"/>
        <w:bidi w:val="0"/>
        <w:spacing w:lineRule="auto" w:line="285" w:before="0" w:after="0"/>
        <w:ind w:left="0" w:right="0" w:hanging="0"/>
        <w:jc w:val="left"/>
        <w:rPr/>
      </w:pPr>
      <w:r>
        <w:rPr/>
        <w:t>​</w:t>
      </w:r>
    </w:p>
    <w:tbl>
      <w:tblPr>
        <w:tblW w:w="6971" w:type="dxa"/>
        <w:jc w:val="left"/>
        <w:tblInd w:w="0" w:type="dxa"/>
        <w:tblLayout w:type="fixed"/>
        <w:tblCellMar>
          <w:top w:w="0" w:type="dxa"/>
          <w:left w:w="0" w:type="dxa"/>
          <w:bottom w:w="0" w:type="dxa"/>
          <w:right w:w="0" w:type="dxa"/>
        </w:tblCellMar>
      </w:tblPr>
      <w:tblGrid>
        <w:gridCol w:w="1861"/>
        <w:gridCol w:w="346"/>
        <w:gridCol w:w="211"/>
        <w:gridCol w:w="676"/>
        <w:gridCol w:w="346"/>
        <w:gridCol w:w="211"/>
        <w:gridCol w:w="781"/>
        <w:gridCol w:w="346"/>
        <w:gridCol w:w="283"/>
        <w:gridCol w:w="467"/>
        <w:gridCol w:w="346"/>
        <w:gridCol w:w="211"/>
        <w:gridCol w:w="88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181735" cy="175260"/>
                      <wp:effectExtent l="0" t="0" r="0" b="0"/>
                      <wp:wrapNone/>
                      <wp:docPr id="89" name="Frame89"/>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29260" cy="175260"/>
                      <wp:effectExtent l="0" t="0" r="0" b="0"/>
                      <wp:wrapNone/>
                      <wp:docPr id="92" name="Frame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95935" cy="175260"/>
                      <wp:effectExtent l="0" t="0" r="0" b="0"/>
                      <wp:wrapNone/>
                      <wp:docPr id="95" name="Frame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79705" cy="175260"/>
                      <wp:effectExtent l="0" t="0" r="0" b="0"/>
                      <wp:wrapNone/>
                      <wp:docPr id="97" name="Frame97"/>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96545" cy="175260"/>
                      <wp:effectExtent l="0" t="0" r="0" b="0"/>
                      <wp:wrapNone/>
                      <wp:docPr id="98" name="Frame98"/>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62610" cy="175260"/>
                      <wp:effectExtent l="0" t="0" r="0" b="0"/>
                      <wp:wrapNone/>
                      <wp:docPr id="101" name="Frame10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764"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18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21"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Measured Using</w:t>
            </w:r>
          </w:p>
        </w:tc>
        <w:tc>
          <w:tcPr>
            <w:tcW w:w="346" w:type="dxa"/>
            <w:tcBorders/>
            <w:vAlign w:val="center"/>
          </w:tcPr>
          <w:p>
            <w:pPr>
              <w:pStyle w:val="TableContents"/>
              <w:bidi w:val="0"/>
              <w:spacing w:lineRule="auto" w:line="285" w:before="0" w:after="0"/>
              <w:ind w:left="0" w:right="0" w:hanging="0"/>
              <w:jc w:val="left"/>
              <w:rPr/>
            </w:pPr>
            <w:r>
              <w:rPr/>
              <w:t>​</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285" w:before="0" w:after="0"/>
              <w:ind w:left="0" w:right="0" w:hanging="0"/>
              <w:jc w:val="left"/>
              <w:rPr/>
            </w:pPr>
            <w:r>
              <w:rPr/>
              <w:t>  ​ ​ ​</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lineRule="auto" w:line="285"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r>
      <w:tr>
        <w:trPr/>
        <w:tc>
          <w:tcPr>
            <w:tcW w:w="186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83" w:type="dxa"/>
            <w:tcBorders/>
            <w:shd w:fill="CCEEFF" w:val="clear"/>
            <w:vAlign w:val="center"/>
          </w:tcPr>
          <w:p>
            <w:pPr>
              <w:pStyle w:val="TableContents"/>
              <w:bidi w:val="0"/>
              <w:spacing w:lineRule="auto" w:line="285" w:before="0" w:after="0"/>
              <w:ind w:left="0" w:right="0" w:hanging="0"/>
              <w:jc w:val="left"/>
              <w:rPr/>
            </w:pPr>
            <w:r>
              <w:rPr/>
              <w:t>​</w:t>
            </w:r>
          </w:p>
        </w:tc>
        <w:tc>
          <w:tcPr>
            <w:tcW w:w="467"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pPr>
            <w:r>
              <w:rPr/>
              <w:t>  ​</w:t>
            </w:r>
          </w:p>
        </w:tc>
      </w:tr>
      <w:tr>
        <w:trPr/>
        <w:tc>
          <w:tcPr>
            <w:tcW w:w="186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39,106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39,106</w:t>
            </w:r>
          </w:p>
        </w:tc>
      </w:tr>
      <w:tr>
        <w:trPr/>
        <w:tc>
          <w:tcPr>
            <w:tcW w:w="186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196,612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196,612</w:t>
            </w:r>
          </w:p>
        </w:tc>
      </w:tr>
      <w:tr>
        <w:trPr/>
        <w:tc>
          <w:tcPr>
            <w:tcW w:w="18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39,106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196,612</w:t>
            </w:r>
          </w:p>
        </w:tc>
        <w:tc>
          <w:tcPr>
            <w:tcW w:w="346" w:type="dxa"/>
            <w:tcBorders/>
            <w:vAlign w:val="center"/>
          </w:tcPr>
          <w:p>
            <w:pPr>
              <w:pStyle w:val="TableContents"/>
              <w:bidi w:val="0"/>
              <w:spacing w:lineRule="auto" w:line="285"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235,718</w:t>
            </w:r>
          </w:p>
        </w:tc>
      </w:tr>
    </w:tbl>
    <w:p>
      <w:pPr>
        <w:pStyle w:val="TextBody"/>
        <w:bidi w:val="0"/>
        <w:spacing w:lineRule="auto" w:line="285" w:before="0" w:after="0"/>
        <w:ind w:left="0" w:right="0" w:hanging="0"/>
        <w:jc w:val="left"/>
        <w:rPr/>
      </w:pPr>
      <w:r>
        <w:rPr/>
        <w:t>​</w:t>
      </w:r>
    </w:p>
    <w:tbl>
      <w:tblPr>
        <w:tblW w:w="6656" w:type="dxa"/>
        <w:jc w:val="left"/>
        <w:tblInd w:w="0" w:type="dxa"/>
        <w:tblLayout w:type="fixed"/>
        <w:tblCellMar>
          <w:top w:w="0" w:type="dxa"/>
          <w:left w:w="0" w:type="dxa"/>
          <w:bottom w:w="0" w:type="dxa"/>
          <w:right w:w="0" w:type="dxa"/>
        </w:tblCellMar>
      </w:tblPr>
      <w:tblGrid>
        <w:gridCol w:w="1861"/>
        <w:gridCol w:w="346"/>
        <w:gridCol w:w="211"/>
        <w:gridCol w:w="571"/>
        <w:gridCol w:w="346"/>
        <w:gridCol w:w="211"/>
        <w:gridCol w:w="676"/>
        <w:gridCol w:w="346"/>
        <w:gridCol w:w="283"/>
        <w:gridCol w:w="467"/>
        <w:gridCol w:w="346"/>
        <w:gridCol w:w="211"/>
        <w:gridCol w:w="781"/>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181735" cy="175260"/>
                      <wp:effectExtent l="0" t="0" r="0" b="0"/>
                      <wp:wrapNone/>
                      <wp:docPr id="102" name="Frame102"/>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62585" cy="175260"/>
                      <wp:effectExtent l="0" t="0" r="0" b="0"/>
                      <wp:wrapNone/>
                      <wp:docPr id="105" name="Frame1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29260" cy="175260"/>
                      <wp:effectExtent l="0" t="0" r="0" b="0"/>
                      <wp:wrapNone/>
                      <wp:docPr id="108" name="Frame1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79705" cy="175260"/>
                      <wp:effectExtent l="0" t="0" r="0" b="0"/>
                      <wp:wrapNone/>
                      <wp:docPr id="110" name="Frame110"/>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96545" cy="175260"/>
                      <wp:effectExtent l="0" t="0" r="0" b="0"/>
                      <wp:wrapNone/>
                      <wp:docPr id="111" name="Frame111"/>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14" name="Frame1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449"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8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111"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Measured Using</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285" w:before="0" w:after="0"/>
              <w:ind w:left="0" w:right="0" w:hanging="0"/>
              <w:jc w:val="left"/>
              <w:rPr/>
            </w:pPr>
            <w:r>
              <w:rPr/>
              <w:t>  ​ ​ ​</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r>
      <w:tr>
        <w:trPr/>
        <w:tc>
          <w:tcPr>
            <w:tcW w:w="186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83" w:type="dxa"/>
            <w:tcBorders/>
            <w:shd w:fill="CCEEFF" w:val="clear"/>
            <w:vAlign w:val="center"/>
          </w:tcPr>
          <w:p>
            <w:pPr>
              <w:pStyle w:val="TableContents"/>
              <w:bidi w:val="0"/>
              <w:spacing w:lineRule="auto" w:line="285" w:before="0" w:after="0"/>
              <w:ind w:left="0" w:right="0" w:hanging="0"/>
              <w:jc w:val="left"/>
              <w:rPr/>
            </w:pPr>
            <w:r>
              <w:rPr/>
              <w:t>​</w:t>
            </w:r>
          </w:p>
        </w:tc>
        <w:tc>
          <w:tcPr>
            <w:tcW w:w="467"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  ​</w:t>
            </w:r>
          </w:p>
        </w:tc>
      </w:tr>
      <w:tr>
        <w:trPr/>
        <w:tc>
          <w:tcPr>
            <w:tcW w:w="186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4,163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4,163</w:t>
            </w:r>
          </w:p>
        </w:tc>
      </w:tr>
      <w:tr>
        <w:trPr/>
        <w:tc>
          <w:tcPr>
            <w:tcW w:w="186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52,174</w:t>
            </w:r>
          </w:p>
        </w:tc>
      </w:tr>
      <w:tr>
        <w:trPr/>
        <w:tc>
          <w:tcPr>
            <w:tcW w:w="18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4,163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52,174</w:t>
            </w:r>
          </w:p>
        </w:tc>
        <w:tc>
          <w:tcPr>
            <w:tcW w:w="346" w:type="dxa"/>
            <w:tcBorders/>
            <w:vAlign w:val="center"/>
          </w:tcPr>
          <w:p>
            <w:pPr>
              <w:pStyle w:val="TableContents"/>
              <w:bidi w:val="0"/>
              <w:spacing w:lineRule="auto" w:line="285"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56,337</w:t>
            </w:r>
          </w:p>
        </w:tc>
      </w:tr>
    </w:tbl>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March 31, 2026 and December 31, 2025, the fair value of available for sale marketable securities by type of security were as follows (in thousands):</w:t>
      </w:r>
    </w:p>
    <w:p>
      <w:pPr>
        <w:pStyle w:val="TextBody"/>
        <w:bidi w:val="0"/>
        <w:spacing w:lineRule="auto" w:line="285" w:before="0" w:after="0"/>
        <w:ind w:left="0" w:right="0" w:firstLine="720"/>
        <w:jc w:val="left"/>
        <w:rPr/>
      </w:pPr>
      <w:r>
        <w:rPr/>
        <w:t>​</w:t>
      </w:r>
    </w:p>
    <w:tbl>
      <w:tblPr>
        <w:tblW w:w="8186" w:type="dxa"/>
        <w:jc w:val="left"/>
        <w:tblInd w:w="0" w:type="dxa"/>
        <w:tblLayout w:type="fixed"/>
        <w:tblCellMar>
          <w:top w:w="0" w:type="dxa"/>
          <w:left w:w="0" w:type="dxa"/>
          <w:bottom w:w="0" w:type="dxa"/>
          <w:right w:w="0" w:type="dxa"/>
        </w:tblCellMar>
      </w:tblPr>
      <w:tblGrid>
        <w:gridCol w:w="2941"/>
        <w:gridCol w:w="346"/>
        <w:gridCol w:w="211"/>
        <w:gridCol w:w="781"/>
        <w:gridCol w:w="346"/>
        <w:gridCol w:w="354"/>
        <w:gridCol w:w="532"/>
        <w:gridCol w:w="346"/>
        <w:gridCol w:w="270"/>
        <w:gridCol w:w="616"/>
        <w:gridCol w:w="346"/>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67535" cy="175260"/>
                      <wp:effectExtent l="0" t="0" r="0" b="0"/>
                      <wp:wrapNone/>
                      <wp:docPr id="115" name="Frame115"/>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95935" cy="175260"/>
                      <wp:effectExtent l="0" t="0" r="0" b="0"/>
                      <wp:wrapNone/>
                      <wp:docPr id="118" name="Frame1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24790" cy="175260"/>
                      <wp:effectExtent l="0" t="0" r="0" b="0"/>
                      <wp:wrapNone/>
                      <wp:docPr id="120" name="Frame12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37820" cy="175260"/>
                      <wp:effectExtent l="0" t="0" r="0" b="0"/>
                      <wp:wrapNone/>
                      <wp:docPr id="121" name="Frame121"/>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71450" cy="175260"/>
                      <wp:effectExtent l="0" t="0" r="0" b="0"/>
                      <wp:wrapNone/>
                      <wp:docPr id="123" name="Frame12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91160" cy="175260"/>
                      <wp:effectExtent l="0" t="0" r="0" b="0"/>
                      <wp:wrapNone/>
                      <wp:docPr id="124" name="Frame12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62610" cy="175260"/>
                      <wp:effectExtent l="0" t="0" r="0" b="0"/>
                      <wp:wrapNone/>
                      <wp:docPr id="127" name="Frame12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99"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lineRule="auto" w:line="285" w:before="0" w:after="0"/>
              <w:ind w:left="0" w:right="0" w:hanging="0"/>
              <w:jc w:val="left"/>
              <w:rPr/>
            </w:pPr>
            <w:r>
              <w:rPr/>
              <w:t>  ​ ​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0"/>
              <w:ind w:left="0" w:right="0" w:hanging="0"/>
              <w:jc w:val="center"/>
              <w:rPr/>
            </w:pPr>
            <w:r>
              <w:rPr/>
              <w:t>​</w: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lineRule="auto" w:line="285" w:before="0" w:after="0"/>
              <w:ind w:left="0" w:right="0" w:hanging="0"/>
              <w:jc w:val="left"/>
              <w:rPr/>
            </w:pPr>
            <w:r>
              <w:rPr/>
              <w:t>​</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lineRule="auto" w:line="285"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164,862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164,678</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32,021</w:t>
            </w:r>
          </w:p>
        </w:tc>
        <w:tc>
          <w:tcPr>
            <w:tcW w:w="346" w:type="dxa"/>
            <w:tcBorders/>
            <w:vAlign w:val="center"/>
          </w:tcPr>
          <w:p>
            <w:pPr>
              <w:pStyle w:val="TableContents"/>
              <w:bidi w:val="0"/>
              <w:spacing w:lineRule="auto" w:line="285"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31,934</w:t>
            </w:r>
          </w:p>
        </w:tc>
      </w:tr>
      <w:tr>
        <w:trPr/>
        <w:tc>
          <w:tcPr>
            <w:tcW w:w="294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196,883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196,612</w:t>
            </w:r>
          </w:p>
        </w:tc>
      </w:tr>
    </w:tbl>
    <w:p>
      <w:pPr>
        <w:pStyle w:val="TextBody"/>
        <w:bidi w:val="0"/>
        <w:spacing w:lineRule="auto" w:line="285" w:before="0" w:after="0"/>
        <w:ind w:left="0" w:right="0" w:hanging="0"/>
        <w:jc w:val="left"/>
        <w:rPr/>
      </w:pPr>
      <w:r>
        <w:rPr/>
        <w:t>​</w:t>
      </w:r>
    </w:p>
    <w:tbl>
      <w:tblPr>
        <w:tblW w:w="7976" w:type="dxa"/>
        <w:jc w:val="left"/>
        <w:tblInd w:w="0" w:type="dxa"/>
        <w:tblLayout w:type="fixed"/>
        <w:tblCellMar>
          <w:top w:w="0" w:type="dxa"/>
          <w:left w:w="0" w:type="dxa"/>
          <w:bottom w:w="0" w:type="dxa"/>
          <w:right w:w="0" w:type="dxa"/>
        </w:tblCellMar>
      </w:tblPr>
      <w:tblGrid>
        <w:gridCol w:w="2941"/>
        <w:gridCol w:w="346"/>
        <w:gridCol w:w="211"/>
        <w:gridCol w:w="676"/>
        <w:gridCol w:w="346"/>
        <w:gridCol w:w="354"/>
        <w:gridCol w:w="532"/>
        <w:gridCol w:w="346"/>
        <w:gridCol w:w="335"/>
        <w:gridCol w:w="551"/>
        <w:gridCol w:w="346"/>
        <w:gridCol w:w="211"/>
        <w:gridCol w:w="78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867535" cy="175260"/>
                      <wp:effectExtent l="0" t="0" r="0" b="0"/>
                      <wp:wrapNone/>
                      <wp:docPr id="128" name="Frame128"/>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29260" cy="175260"/>
                      <wp:effectExtent l="0" t="0" r="0" b="0"/>
                      <wp:wrapNone/>
                      <wp:docPr id="131" name="Frame1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24790" cy="175260"/>
                      <wp:effectExtent l="0" t="0" r="0" b="0"/>
                      <wp:wrapNone/>
                      <wp:docPr id="133" name="Frame133"/>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37820" cy="175260"/>
                      <wp:effectExtent l="0" t="0" r="0" b="0"/>
                      <wp:wrapNone/>
                      <wp:docPr id="134" name="Frame134"/>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2725" cy="175260"/>
                      <wp:effectExtent l="0" t="0" r="0" b="0"/>
                      <wp:wrapNone/>
                      <wp:docPr id="136" name="Frame13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49885" cy="175260"/>
                      <wp:effectExtent l="0" t="0" r="0" b="0"/>
                      <wp:wrapNone/>
                      <wp:docPr id="137" name="Frame137"/>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95935" cy="175260"/>
                      <wp:effectExtent l="0" t="0" r="0" b="0"/>
                      <wp:wrapNone/>
                      <wp:docPr id="140" name="Frame1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689"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lineRule="auto" w:line="285" w:before="0" w:after="0"/>
              <w:ind w:left="0" w:right="0" w:hanging="0"/>
              <w:jc w:val="left"/>
              <w:rPr/>
            </w:pPr>
            <w:r>
              <w:rPr/>
              <w:t>  ​ ​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center"/>
              <w:rPr/>
            </w:pPr>
            <w:r>
              <w:rPr/>
              <w:t>​</w: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38,675</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13,489</w:t>
            </w:r>
          </w:p>
        </w:tc>
        <w:tc>
          <w:tcPr>
            <w:tcW w:w="346" w:type="dxa"/>
            <w:tcBorders/>
            <w:vAlign w:val="center"/>
          </w:tcPr>
          <w:p>
            <w:pPr>
              <w:pStyle w:val="TableContents"/>
              <w:bidi w:val="0"/>
              <w:spacing w:lineRule="auto" w:line="285"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lineRule="auto" w:line="285"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13,499</w:t>
            </w:r>
          </w:p>
        </w:tc>
      </w:tr>
      <w:tr>
        <w:trPr/>
        <w:tc>
          <w:tcPr>
            <w:tcW w:w="294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52,174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color w:val="EE0000"/>
        </w:rPr>
      </w:pPr>
      <w:r>
        <w:rPr>
          <w:color w:val="EE0000"/>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March 31, 2026, all of the Company’s marketable securities are considered available for current operations and the remaining maturity by type of security is as follows (in thousands):</w:t>
      </w:r>
    </w:p>
    <w:p>
      <w:pPr>
        <w:pStyle w:val="TextBody"/>
        <w:bidi w:val="0"/>
        <w:spacing w:lineRule="auto" w:line="285" w:before="0" w:after="0"/>
        <w:ind w:left="0" w:right="0" w:hanging="0"/>
        <w:jc w:val="left"/>
        <w:rPr>
          <w:color w:val="EE0000"/>
        </w:rPr>
      </w:pPr>
      <w:r>
        <w:rPr>
          <w:color w:val="EE0000"/>
        </w:rPr>
        <w:t>​</w:t>
      </w:r>
    </w:p>
    <w:tbl>
      <w:tblPr>
        <w:tblW w:w="6955" w:type="dxa"/>
        <w:jc w:val="left"/>
        <w:tblInd w:w="0" w:type="dxa"/>
        <w:tblLayout w:type="fixed"/>
        <w:tblCellMar>
          <w:top w:w="0" w:type="dxa"/>
          <w:left w:w="0" w:type="dxa"/>
          <w:bottom w:w="0" w:type="dxa"/>
          <w:right w:w="0" w:type="dxa"/>
        </w:tblCellMar>
      </w:tblPr>
      <w:tblGrid>
        <w:gridCol w:w="2941"/>
        <w:gridCol w:w="346"/>
        <w:gridCol w:w="211"/>
        <w:gridCol w:w="781"/>
        <w:gridCol w:w="346"/>
        <w:gridCol w:w="211"/>
        <w:gridCol w:w="781"/>
        <w:gridCol w:w="346"/>
        <w:gridCol w:w="211"/>
        <w:gridCol w:w="78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867535" cy="175260"/>
                      <wp:effectExtent l="0" t="0" r="0" b="0"/>
                      <wp:wrapNone/>
                      <wp:docPr id="141" name="Frame141"/>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95935" cy="175260"/>
                      <wp:effectExtent l="0" t="0" r="0" b="0"/>
                      <wp:wrapNone/>
                      <wp:docPr id="144" name="Frame1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95935" cy="175260"/>
                      <wp:effectExtent l="0" t="0" r="0" b="0"/>
                      <wp:wrapNone/>
                      <wp:docPr id="147" name="Frame1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95935" cy="175260"/>
                      <wp:effectExtent l="0" t="0" r="0" b="0"/>
                      <wp:wrapNone/>
                      <wp:docPr id="150" name="Frame1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68"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Maturities by Period at Amortized Cost</w: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b/>
                <w:sz w:val="16"/>
              </w:rPr>
              <w:t>Less</w:t>
            </w:r>
            <w:r>
              <w:rPr>
                <w:rFonts w:ascii="Times New Roman;Times;serif" w:hAnsi="Times New Roman;Times;serif"/>
                <w:sz w:val="16"/>
              </w:rPr>
              <w:t> </w:t>
            </w:r>
            <w:r>
              <w:rPr>
                <w:rFonts w:ascii="Times New Roman;Times;serif" w:hAnsi="Times New Roman;Times;serif"/>
                <w:b/>
                <w:sz w:val="16"/>
              </w:rPr>
              <w:t>than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1-2 years</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164,862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95,749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69,113</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12,943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19,078</w:t>
            </w:r>
          </w:p>
        </w:tc>
      </w:tr>
      <w:tr>
        <w:trPr/>
        <w:tc>
          <w:tcPr>
            <w:tcW w:w="294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196,883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108,692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88,191</w:t>
            </w:r>
          </w:p>
        </w:tc>
      </w:tr>
    </w:tbl>
    <w:p>
      <w:pPr>
        <w:pStyle w:val="TextBody"/>
        <w:bidi w:val="0"/>
        <w:spacing w:lineRule="auto" w:line="285" w:before="0" w:after="0"/>
        <w:ind w:left="0" w:right="0" w:hanging="0"/>
        <w:jc w:val="left"/>
        <w:rPr>
          <w:color w:val="EE0000"/>
        </w:rPr>
      </w:pPr>
      <w:r>
        <w:rPr>
          <w:color w:val="EE0000"/>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670" w:name="Tc_JCwcVScdzkOIKvqg2h--tw_8_0"/>
      <w:bookmarkStart w:id="671" w:name="Tc_5Kh_bVGXf06cJa6wnJcm1g_7_0"/>
      <w:bookmarkStart w:id="672" w:name="Tc_EZaMr7eoa0OWz1Cs7rNm2w_6_7"/>
      <w:bookmarkStart w:id="673" w:name="Tc_SdjbSifC0UCFktfsqrK5-w_6_4"/>
      <w:bookmarkStart w:id="674" w:name="Tc_Xge7KHrtOkuumrTpwk76Hw_6_0"/>
      <w:bookmarkStart w:id="675" w:name="Tc_zDX0eFbHrEGZP2xwIqw-TQ_5_7"/>
      <w:bookmarkStart w:id="676" w:name="Tc_USKDXjTUoUSgbhNZpx3MWg_5_6"/>
      <w:bookmarkStart w:id="677" w:name="Tc_mxIB3H3BHU-GCZ_SwxhvKA_5_4"/>
      <w:bookmarkStart w:id="678" w:name="Tc_1hUQFuQ1PEii6pyF8moWxQ_5_3"/>
      <w:bookmarkStart w:id="679" w:name="Tc_KeoSB_Q6LECF1iNFehYrvw_5_0"/>
      <w:bookmarkStart w:id="680" w:name="Tc_w5uDPKzri0KSpBEg1dFlDQ_3_6"/>
      <w:bookmarkStart w:id="681" w:name="Tc_0LyK3dM7aUyR-k48Vnhw6Q_3_3"/>
      <w:bookmarkStart w:id="682" w:name="Tc_1cFCDoBl0EWtYPRpxofkWA_3_0"/>
      <w:bookmarkStart w:id="683" w:name="Tc_XMnXFYvA40GVilNK1-iELg_2_3"/>
      <w:bookmarkStart w:id="684" w:name="Tc_DIjCxQYAvUC6LNP9YF7jYQ_1_3"/>
      <w:bookmarkStart w:id="685" w:name="Tc_RHnboOPTqEGmvI007oR5aw_8_0"/>
      <w:bookmarkStart w:id="686" w:name="Tc_rFzt3WKIik2xstoxg6cdOg_7_0"/>
      <w:bookmarkStart w:id="687" w:name="Tc_pN2OrEJ_Ok6HzCM17hOERg_6_0"/>
      <w:bookmarkStart w:id="688" w:name="Tc_nx4eLBzOLki1TXgs3oMIYw_5_0"/>
      <w:bookmarkStart w:id="689" w:name="Tc_ESHo34Ydj0qtdk5wfsfSjA_4_5"/>
      <w:bookmarkStart w:id="690" w:name="Tc_WwJ8KYrYW06Jd69N699w4g_4_2"/>
      <w:bookmarkStart w:id="691" w:name="Tc_bcCCk1vcRkyDygtSjy6rjg_4_0"/>
      <w:bookmarkStart w:id="692" w:name="Tc_mU4B57RTk0aJGOectJvoxA_3_2"/>
      <w:bookmarkStart w:id="693" w:name="Tc_aDdSCY0BMUyERfIkTFIW9w_2_5"/>
      <w:bookmarkStart w:id="694" w:name="Tc_x9JmuzmGjEO-ek5mrczSjg_2_2"/>
      <w:bookmarkStart w:id="695" w:name="Tc_qNkTdwZ4sEmMDg0AOpD5ag_2_0"/>
      <w:bookmarkStart w:id="696" w:name="Tc_U4O8jDKI8kOvzg2b-ZrDPQ_1_6"/>
      <w:bookmarkStart w:id="697" w:name="Tc_9j3gRzLG0Eqq9rOdx7aVLg_1_3"/>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Pr>
          <w:rFonts w:ascii="Times New Roman;Times;serif" w:hAnsi="Times New Roman;Times;serif"/>
          <w:b/>
          <w:sz w:val="20"/>
        </w:rPr>
        <w:t>6. Equity Method Investment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Angel Pharmaceuticals Co. Ltd. (“Angel Pharmaceuticals”) is a corporate venture in the People’s Republic of China designed to develop, manufacture, and commercialize soquelitinib, ciforadenant and mupadolimab compounds for distribution within the countries of China, Taiwan, Macao, and Hong Kong based on intellectual property licenses contributed to Angel Pharmaceuticals by the Company.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2026 and December 31, 2025, the Company’s ownership interest in Angel Pharmaceuticals was approximately 49.7%, excluding 7% of Angel Pharmaceuticals’ equity reserved for issuance under the Angel Pharmaceuticals Employee Stock Ownership Plan, and is accounted for as an equity method investment. The Company recognized its share of loss in Angel Pharmaceuticals for the total amount of $0.6 million and $0.5 million as loss from equity method investment in the condensed consolidated statement of operations for the three months ended March 31, 2026 and 2025, respectively.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Summary Financial Information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Summary financial information for Angel Pharmaceuticals is as follows:</w:t>
      </w:r>
    </w:p>
    <w:p>
      <w:pPr>
        <w:pStyle w:val="TextBody"/>
        <w:bidi w:val="0"/>
        <w:spacing w:lineRule="auto" w:line="285" w:before="0" w:after="0"/>
        <w:ind w:left="0" w:right="0" w:hanging="0"/>
        <w:jc w:val="left"/>
        <w:rPr/>
      </w:pPr>
      <w:r>
        <w:rPr/>
        <w:t>​</w:t>
      </w:r>
    </w:p>
    <w:tbl>
      <w:tblPr>
        <w:tblW w:w="5181" w:type="dxa"/>
        <w:jc w:val="left"/>
        <w:tblInd w:w="0" w:type="dxa"/>
        <w:tblLayout w:type="fixed"/>
        <w:tblCellMar>
          <w:top w:w="0" w:type="dxa"/>
          <w:left w:w="0" w:type="dxa"/>
          <w:bottom w:w="0" w:type="dxa"/>
          <w:right w:w="0" w:type="dxa"/>
        </w:tblCellMar>
      </w:tblPr>
      <w:tblGrid>
        <w:gridCol w:w="1921"/>
        <w:gridCol w:w="346"/>
        <w:gridCol w:w="299"/>
        <w:gridCol w:w="961"/>
        <w:gridCol w:w="109"/>
        <w:gridCol w:w="328"/>
        <w:gridCol w:w="1217"/>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19835" cy="175260"/>
                      <wp:effectExtent l="0" t="0" r="0" b="0"/>
                      <wp:wrapNone/>
                      <wp:docPr id="151" name="Frame151"/>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89865" cy="175260"/>
                      <wp:effectExtent l="0" t="0" r="0" b="0"/>
                      <wp:wrapNone/>
                      <wp:docPr id="153" name="Frame15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10235" cy="175260"/>
                      <wp:effectExtent l="0" t="0" r="0" b="0"/>
                      <wp:wrapNone/>
                      <wp:docPr id="154" name="Frame15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8280" cy="175260"/>
                      <wp:effectExtent l="0" t="0" r="0" b="0"/>
                      <wp:wrapNone/>
                      <wp:docPr id="156" name="Frame15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72795" cy="175260"/>
                      <wp:effectExtent l="0" t="0" r="0" b="0"/>
                      <wp:wrapNone/>
                      <wp:docPr id="157" name="Frame157"/>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9" w:type="dxa"/>
            <w:tcBorders/>
            <w:vAlign w:val="center"/>
          </w:tcPr>
          <w:p>
            <w:pPr>
              <w:pStyle w:val="TableContents"/>
              <w:bidi w:val="0"/>
              <w:spacing w:lineRule="auto" w:line="285" w:before="0" w:after="0"/>
              <w:ind w:left="0" w:right="0" w:hanging="0"/>
              <w:jc w:val="left"/>
              <w:rPr/>
            </w:pPr>
            <w:r>
              <w:rPr/>
              <w:t>​</w:t>
            </w:r>
          </w:p>
        </w:tc>
        <w:tc>
          <w:tcPr>
            <w:tcW w:w="96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09" w:type="dxa"/>
            <w:tcBorders/>
            <w:vAlign w:val="center"/>
          </w:tcPr>
          <w:p>
            <w:pPr>
              <w:pStyle w:val="TableContents"/>
              <w:bidi w:val="0"/>
              <w:spacing w:lineRule="auto" w:line="285" w:before="0" w:after="0"/>
              <w:ind w:left="0" w:right="0" w:hanging="0"/>
              <w:jc w:val="left"/>
              <w:rPr/>
            </w:pPr>
            <w:r>
              <w:rPr/>
              <w:t>​</w:t>
            </w:r>
          </w:p>
        </w:tc>
        <w:tc>
          <w:tcPr>
            <w:tcW w:w="328" w:type="dxa"/>
            <w:tcBorders/>
            <w:vAlign w:val="center"/>
          </w:tcPr>
          <w:p>
            <w:pPr>
              <w:pStyle w:val="TableContents"/>
              <w:bidi w:val="0"/>
              <w:spacing w:lineRule="auto" w:line="285" w:before="0" w:after="0"/>
              <w:ind w:left="0" w:right="0" w:hanging="0"/>
              <w:jc w:val="left"/>
              <w:rPr/>
            </w:pPr>
            <w:r>
              <w:rPr/>
              <w:t>​</w:t>
            </w:r>
          </w:p>
        </w:tc>
        <w:tc>
          <w:tcPr>
            <w:tcW w:w="1217"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9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Sheet Data</w:t>
            </w:r>
          </w:p>
        </w:tc>
        <w:tc>
          <w:tcPr>
            <w:tcW w:w="346" w:type="dxa"/>
            <w:tcBorders/>
            <w:vAlign w:val="center"/>
          </w:tcPr>
          <w:p>
            <w:pPr>
              <w:pStyle w:val="TableContents"/>
              <w:bidi w:val="0"/>
              <w:spacing w:lineRule="auto" w:line="285"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09" w:type="dxa"/>
            <w:tcBorders/>
            <w:vAlign w:val="center"/>
          </w:tcPr>
          <w:p>
            <w:pPr>
              <w:pStyle w:val="TableContents"/>
              <w:bidi w:val="0"/>
              <w:spacing w:lineRule="auto" w:line="285"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518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2914"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11,033</w:t>
            </w:r>
          </w:p>
        </w:tc>
      </w:tr>
      <w:tr>
        <w:trPr/>
        <w:tc>
          <w:tcPr>
            <w:tcW w:w="19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99" w:type="dxa"/>
            <w:tcBorders/>
            <w:vAlign w:val="center"/>
          </w:tcPr>
          <w:p>
            <w:pPr>
              <w:pStyle w:val="TableContents"/>
              <w:bidi w:val="0"/>
              <w:spacing w:lineRule="auto" w:line="285" w:before="0" w:after="0"/>
              <w:ind w:left="0" w:right="0" w:hanging="0"/>
              <w:jc w:val="left"/>
              <w:rPr/>
            </w:pPr>
            <w:r>
              <w:rPr/>
              <w:t> </w:t>
            </w:r>
          </w:p>
        </w:tc>
        <w:tc>
          <w:tcPr>
            <w:tcW w:w="9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798</w:t>
            </w:r>
          </w:p>
        </w:tc>
        <w:tc>
          <w:tcPr>
            <w:tcW w:w="109" w:type="dxa"/>
            <w:tcBorders/>
            <w:vAlign w:val="center"/>
          </w:tcPr>
          <w:p>
            <w:pPr>
              <w:pStyle w:val="TableContents"/>
              <w:bidi w:val="0"/>
              <w:spacing w:lineRule="auto" w:line="285" w:before="0" w:after="0"/>
              <w:ind w:left="0" w:right="0" w:hanging="0"/>
              <w:jc w:val="left"/>
              <w:rPr/>
            </w:pPr>
            <w:r>
              <w:rPr/>
              <w:t>​</w:t>
            </w:r>
          </w:p>
        </w:tc>
        <w:tc>
          <w:tcPr>
            <w:tcW w:w="328" w:type="dxa"/>
            <w:tcBorders/>
            <w:vAlign w:val="center"/>
          </w:tcPr>
          <w:p>
            <w:pPr>
              <w:pStyle w:val="TableContents"/>
              <w:bidi w:val="0"/>
              <w:spacing w:lineRule="auto" w:line="285" w:before="0" w:after="0"/>
              <w:ind w:left="0" w:right="0" w:hanging="0"/>
              <w:jc w:val="left"/>
              <w:rPr/>
            </w:pPr>
            <w:r>
              <w:rPr/>
              <w:t> </w:t>
            </w:r>
          </w:p>
        </w:tc>
        <w:tc>
          <w:tcPr>
            <w:tcW w:w="12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904</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9" w:type="dxa"/>
            <w:tcBorders/>
            <w:shd w:fill="CCEEFF" w:val="clear"/>
            <w:vAlign w:val="center"/>
          </w:tcPr>
          <w:p>
            <w:pPr>
              <w:pStyle w:val="TableContents"/>
              <w:bidi w:val="0"/>
              <w:spacing w:lineRule="auto" w:line="285" w:before="0" w:after="0"/>
              <w:ind w:left="0" w:right="0" w:hanging="0"/>
              <w:jc w:val="left"/>
              <w:rPr/>
            </w:pPr>
            <w:r>
              <w:rPr/>
              <w:t> </w:t>
            </w:r>
          </w:p>
        </w:tc>
        <w:tc>
          <w:tcPr>
            <w:tcW w:w="9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28" w:type="dxa"/>
            <w:tcBorders/>
            <w:shd w:fill="CCEEFF" w:val="clear"/>
            <w:vAlign w:val="center"/>
          </w:tcPr>
          <w:p>
            <w:pPr>
              <w:pStyle w:val="TableContents"/>
              <w:bidi w:val="0"/>
              <w:spacing w:lineRule="auto" w:line="285" w:before="0" w:after="0"/>
              <w:ind w:left="0" w:right="0" w:hanging="0"/>
              <w:jc w:val="left"/>
              <w:rPr/>
            </w:pPr>
            <w:r>
              <w:rPr/>
              <w:t> </w:t>
            </w:r>
          </w:p>
        </w:tc>
        <w:tc>
          <w:tcPr>
            <w:tcW w:w="12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19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99" w:type="dxa"/>
            <w:tcBorders/>
            <w:vAlign w:val="center"/>
          </w:tcPr>
          <w:p>
            <w:pPr>
              <w:pStyle w:val="TableContents"/>
              <w:bidi w:val="0"/>
              <w:spacing w:lineRule="auto" w:line="285" w:before="0" w:after="0"/>
              <w:ind w:left="0" w:right="0" w:hanging="0"/>
              <w:jc w:val="left"/>
              <w:rPr/>
            </w:pPr>
            <w:r>
              <w:rPr/>
              <w:t> </w:t>
            </w:r>
          </w:p>
        </w:tc>
        <w:tc>
          <w:tcPr>
            <w:tcW w:w="9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vAlign w:val="center"/>
          </w:tcPr>
          <w:p>
            <w:pPr>
              <w:pStyle w:val="TableContents"/>
              <w:bidi w:val="0"/>
              <w:spacing w:lineRule="auto" w:line="285" w:before="0" w:after="0"/>
              <w:ind w:left="0" w:right="0" w:hanging="0"/>
              <w:jc w:val="left"/>
              <w:rPr/>
            </w:pPr>
            <w:r>
              <w:rPr/>
              <w:t>​</w:t>
            </w:r>
          </w:p>
        </w:tc>
        <w:tc>
          <w:tcPr>
            <w:tcW w:w="328" w:type="dxa"/>
            <w:tcBorders/>
            <w:vAlign w:val="center"/>
          </w:tcPr>
          <w:p>
            <w:pPr>
              <w:pStyle w:val="TableContents"/>
              <w:bidi w:val="0"/>
              <w:spacing w:lineRule="auto" w:line="285" w:before="0" w:after="0"/>
              <w:ind w:left="0" w:right="0" w:hanging="0"/>
              <w:jc w:val="left"/>
              <w:rPr/>
            </w:pPr>
            <w:r>
              <w:rPr/>
              <w:t> </w:t>
            </w:r>
          </w:p>
        </w:tc>
        <w:tc>
          <w:tcPr>
            <w:tcW w:w="12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9" w:type="dxa"/>
            <w:tcBorders/>
            <w:shd w:fill="CCEEFF" w:val="clear"/>
            <w:vAlign w:val="center"/>
          </w:tcPr>
          <w:p>
            <w:pPr>
              <w:pStyle w:val="TableContents"/>
              <w:bidi w:val="0"/>
              <w:spacing w:lineRule="auto" w:line="285" w:before="0" w:after="0"/>
              <w:ind w:left="0" w:right="0" w:hanging="0"/>
              <w:jc w:val="left"/>
              <w:rPr/>
            </w:pPr>
            <w:r>
              <w:rPr/>
              <w:t>​</w:t>
            </w:r>
          </w:p>
        </w:tc>
        <w:tc>
          <w:tcPr>
            <w:tcW w:w="9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28" w:type="dxa"/>
            <w:tcBorders/>
            <w:shd w:fill="CCEEFF" w:val="clear"/>
            <w:vAlign w:val="center"/>
          </w:tcPr>
          <w:p>
            <w:pPr>
              <w:pStyle w:val="TableContents"/>
              <w:bidi w:val="0"/>
              <w:spacing w:lineRule="auto" w:line="285" w:before="0" w:after="0"/>
              <w:ind w:left="0" w:right="0" w:hanging="0"/>
              <w:jc w:val="left"/>
              <w:rPr/>
            </w:pPr>
            <w:r>
              <w:rPr/>
              <w:t>​</w:t>
            </w:r>
          </w:p>
        </w:tc>
        <w:tc>
          <w:tcPr>
            <w:tcW w:w="1217"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10,659</w:t>
            </w:r>
          </w:p>
        </w:tc>
      </w:tr>
    </w:tbl>
    <w:p>
      <w:pPr>
        <w:pStyle w:val="TextBody"/>
        <w:bidi w:val="0"/>
        <w:spacing w:lineRule="auto" w:line="285" w:before="0" w:after="0"/>
        <w:ind w:left="0" w:right="0" w:hanging="0"/>
        <w:jc w:val="left"/>
        <w:rPr/>
      </w:pPr>
      <w:r>
        <w:rPr/>
        <w:t>​</w:t>
      </w:r>
    </w:p>
    <w:tbl>
      <w:tblPr>
        <w:tblW w:w="7983" w:type="dxa"/>
        <w:jc w:val="left"/>
        <w:tblInd w:w="0" w:type="dxa"/>
        <w:tblLayout w:type="fixed"/>
        <w:tblCellMar>
          <w:top w:w="0" w:type="dxa"/>
          <w:left w:w="0" w:type="dxa"/>
          <w:bottom w:w="0" w:type="dxa"/>
          <w:right w:w="0" w:type="dxa"/>
        </w:tblCellMar>
      </w:tblPr>
      <w:tblGrid>
        <w:gridCol w:w="5761"/>
        <w:gridCol w:w="346"/>
        <w:gridCol w:w="109"/>
        <w:gridCol w:w="211"/>
        <w:gridCol w:w="541"/>
        <w:gridCol w:w="109"/>
        <w:gridCol w:w="211"/>
        <w:gridCol w:w="541"/>
        <w:gridCol w:w="154"/>
      </w:tblGrid>
      <w:tr>
        <w:trPr/>
        <w:tc>
          <w:tcPr>
            <w:tcW w:w="5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658235" cy="175260"/>
                      <wp:effectExtent l="0" t="0" r="0" b="0"/>
                      <wp:wrapNone/>
                      <wp:docPr id="158" name="Frame158"/>
                      <a:graphic xmlns:a="http://schemas.openxmlformats.org/drawingml/2006/main">
                        <a:graphicData uri="http://schemas.microsoft.com/office/word/2010/wordprocessingShape">
                          <wps:wsp>
                            <wps:cNvSpPr txBox="1"/>
                            <wps:spPr>
                              <a:xfrm>
                                <a:off x="0" y="0"/>
                                <a:ext cx="3658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0"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43535" cy="175260"/>
                      <wp:effectExtent l="0" t="0" r="0" b="0"/>
                      <wp:wrapNone/>
                      <wp:docPr id="162" name="Frame16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43535" cy="175260"/>
                      <wp:effectExtent l="0" t="0" r="0" b="0"/>
                      <wp:wrapNone/>
                      <wp:docPr id="165" name="Frame16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7790" cy="175260"/>
                      <wp:effectExtent l="0" t="0" r="0" b="0"/>
                      <wp:wrapNone/>
                      <wp:docPr id="166" name="Frame16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7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61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57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61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57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Statement of Operations Data</w:t>
            </w:r>
          </w:p>
        </w:tc>
        <w:tc>
          <w:tcPr>
            <w:tcW w:w="346" w:type="dxa"/>
            <w:tcBorders/>
            <w:vAlign w:val="center"/>
          </w:tcPr>
          <w:p>
            <w:pPr>
              <w:pStyle w:val="TableContents"/>
              <w:bidi w:val="0"/>
              <w:spacing w:lineRule="auto" w:line="285" w:before="0" w:after="0"/>
              <w:ind w:left="0" w:right="0" w:hanging="0"/>
              <w:jc w:val="left"/>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7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lineRule="auto" w:line="285" w:before="0" w:after="0"/>
              <w:ind w:left="0" w:right="0" w:hanging="0"/>
              <w:jc w:val="left"/>
              <w:rPr/>
            </w:pPr>
            <w:r>
              <w:rPr/>
              <w:t>​</w:t>
            </w:r>
          </w:p>
        </w:tc>
        <w:tc>
          <w:tcPr>
            <w:tcW w:w="7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57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5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(686)</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5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 of loss from investments accounted for using the equity method</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7. License and Collaboration Agreements</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360"/>
        <w:jc w:val="left"/>
        <w:rPr>
          <w:rFonts w:ascii="Times New Roman;Times;serif" w:hAnsi="Times New Roman;Times;serif"/>
          <w:b/>
          <w:i/>
          <w:sz w:val="20"/>
        </w:rPr>
      </w:pPr>
      <w:r>
        <w:rPr>
          <w:rFonts w:ascii="Times New Roman;Times;serif" w:hAnsi="Times New Roman;Times;serif"/>
          <w:b/>
          <w:i/>
          <w:sz w:val="20"/>
        </w:rPr>
        <w:t>Scripps Licensing Agreement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December 2014, the Company entered into a license agreement with The Scripps Research Institute (“Scripps”), pursuant to which it was granted a non-exclusive, world-wide license for all fields of use under Scripps’ rights in certain know-how and technology related to a mouse hybridoma clone expressing an anti-human CD73 antibody, and to progeny, mutants or unmodified derivatives of such hybridoma and any antibodies expressed by such hybridoma, from which we developed CPI-006. Scripps also granted the Company the right to grant sublicenses in conjunction with other proprietary rights the Company holds, or to others collaborating with or performing services for the Company. Under this license agreement, Scripps has agreed not to grant any additional commercial licenses with respect to such materials, other than march-in rights granted to the U.S. government.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Upon execution of the agreement, the Company made a one time cash payment to Scripps of $10,000 in 2015 and is also obligated to pay a minimum annual fee to Scripps of $25,000. The one time cash payment was recorded as research and development expense as technological feasibility of the asset had not been established and there was no alternative future use. A minimum annual fee payment is due on each anniversary of the effective date of the agreement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for the term of the agreement. The Company is also required to make performance based cash payments upon successful completion of clinical and sales milestones. The aggregate potential milestone payments are $2.5 million as of March 31, 2026. The Company is also required to pay royalties on net sales of licensed products (including CPI-006) sold by it, its affiliates and its sublicensees at a rate in the low single digits. In addition, should the Company sublicense the rights licensed under the agreement, it has agreed to pay a percentage of sublicense revenue received at specified rates that start at double digit percentages and decrease to single digit percentages based on the elapsed time from the effective date of the agreement and the time of entry into such sublicense. To date, no milestone payments have been made.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license agreement with Scripps will terminate upon expiration of its obligation to pay royalties to Scripps under the license agreement. The Company’s license agreement with Scripps is terminable by the consent of the parties, at will by the Company upon providing 90 days written notice to Scripps, or by Scripps for certain material breaches, or if the Company undergoes a bankruptcy event. In addition, Scripps may terminate the license on a product by product basis, or the entire agreement, if the Company fails to meet specified diligence obligations related to the development and commercialization of licensed products. Scripps may also terminate the agreement after the third anniversary of the effective date of the agreement if it reasonably believes, based on reports the Company provides to Scripps, that the Company has not used commercially reasonable efforts as required under the agreement, subject to a specified notice and cure period.</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Vernalis Licensing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February 2015, the Company entered into a license agreement with Vernalis (R&amp;D) Limited (“Vernalis”), which was subsequently amended as of November 5, 2015, and, pursuant to which the Company was granted an exclusive, worldwide license under certain patent rights and know-how, including a limited right to grant sublicenses, for all fields of use to develop, manufacture and commercialize products containing certain adenosine receptor antagonists, including ciforadenant. Pursuant to this agreement, the Company made a one-time cash payment to Vernalis in the amount of $1.0 million, which was recorded as research and development expense as technological feasibility of the asset had not been established and there was no alternative future use. The Company is also required to make cash milestone payments to Vernalis upon the successful completion of clinical and regulatory milestones for licensed products depending on the indications for which such licensed products are developed and upon achievement of certain sales milestones. In February 2017, the Company made a milestone payment of $3.0 million to Vernalis following the expansion of a cohort of patients with renal cell cancer treated with single agent ciforadenant in the Company’s Phase 1/1b clinical trial. During the three months ended March 31, 2026 and 2025, no clinical or regulatory milestones were completed or paid to Vernalis, and the aggregate potential milestone payments were approximately $220 million for all indications as of March 31, 2026. The Company has also agreed to pay Vernalis tiered incremental royalties based on the annual net sales of licensed products containing ciforadenant on a product by product and country by country basis, subject to certain offsets and reductions. The tiered royalty rates for products containing ciforadenant range from the mid single digits up to the low double digits on a country by country net sales basis. The royalties on other licensed products that do not include ciforadenant also increase with the amount of net sales on a product-by-product and country by country basis and range from the low single digits up to the mid single digits on a country by country net sales basis. The Company is also obligated to pay to Vernalis certain sales milestones as indicated above when worldwide net sales reach specified levels over an agreed upon time period.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agreement will expire on a product-by-product and country-by-country basis upon the expiration of the Company’s payment obligations to Vernalis in respect of a particular product and country. Both parties have the right to terminate the agreement for an uncured material breach by the other party. The Company may also terminate the agreement at its convenience by providing 90 days written notice, provided that the Company has not received notice of its own default under the agreement at the time the Company exercises such termination right. Vernalis may also terminate the agreement if the Company challenges a licensed patent or undergoes a bankruptcy event.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Monash License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April 2017, the Company entered into a license agreement with Monash University (“Monash”), pursuant to which the Company was granted an exclusive, sublicensable worldwide license under certain know-how, patent rights and other intellectual property rights controlled by Monash to research, develop, and commercialize certain antibodies directed to CXCR2 for the treatment of human diseases.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Upon execution of the agreement, the Company made a one time cash payment to Monash of $275,000 and reimbursed Monash for certain patent prosecution costs incurred prior to execution of the agreement. The Company recorded these payments as research and development expenses for the year ended December 31, 2017. The Company is also obligated to pay an annual license maintenance fee to Monash of $25,000 until a certain development milestone is met with respect to the licensed product, after which no further maintenance fee will be due. The Company is also required to make development and sales milestone payments to Monash with respect to the licensed products. During the three months ended March 31, 2026 and 2025, no development or sales milestones were completed or paid to Monash, and the aggregate potential milestones were $45.1 million as of March 31, 2026. The Company is also required to pay to Monash tiered royalties on net sales of licensed products sold by it, its affiliates and its sublicensees at a rate ranging in the low single digits. In addition, should the Company sublicense its rights under the agreement, the Company has agreed to pay a percentage of sublicense revenue received at specified rates that are currently at low double digit percentages and decrease to single digit percentages based on the achievement of development milestones.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term of the Company’s agreement with Monash continues until the expiration of its obligation to pay royalties to Monash thereunder. The license agreement is terminable at will by the Company upon providing 30 days written notice to Monash, or by either party for material breaches by the other party. In addition, Monash may terminate the entire agreement or convert the license to a non-exclusive license if the Company has materially breached its obligation to use commercially reasonable efforts to develop and commercialize a licensed product, subject to a specified notice and cure mechanism.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bookmarkStart w:id="698" w:name="Tc_49awuP3I_0Cj8K9bhoeu0A_24_5"/>
      <w:bookmarkStart w:id="699" w:name="Tc_5R0TTqeLLEKoB9ohfSOv9w_24_2"/>
      <w:bookmarkStart w:id="700" w:name="Tc_1n0Gx2HY6Euvpi7UFqQjWQ_23_0"/>
      <w:bookmarkStart w:id="701" w:name="Tc_MgYmUs8EQEicQUEG5RzgAA_22_0"/>
      <w:bookmarkStart w:id="702" w:name="Tc_OoLWW_F9N0yEyR7Qz1zRiA_21_0"/>
      <w:bookmarkStart w:id="703" w:name="Tc_B6R5opD8QkC3A1sy8fkmdA_20_0"/>
      <w:bookmarkStart w:id="704" w:name="Tc_F0WTuHSATkqz8Gpq8gsyHQ_19_5"/>
      <w:bookmarkStart w:id="705" w:name="Tc_xMnaA4t1DkqtmR9KHbbumw_19_2"/>
      <w:bookmarkStart w:id="706" w:name="Tc_PX-HJNe9XEKsCsTI0ytAlA_19_0"/>
      <w:bookmarkStart w:id="707" w:name="Tc_xCc_LVIank2p4YXx6dpuBA_18_0"/>
      <w:bookmarkStart w:id="708" w:name="Tc_1I9guTaNbUa7gRMddD0EVw_17_5"/>
      <w:bookmarkStart w:id="709" w:name="Tc_gBt2efb4o0icki7dT8NMfw_17_2"/>
      <w:bookmarkStart w:id="710" w:name="Tc_ZjPEOe8nEUidkiGTVUe6ng_16_0"/>
      <w:bookmarkStart w:id="711" w:name="Tc_L9WedZMZQ0iW4eWnZ428ag_14_6"/>
      <w:bookmarkStart w:id="712" w:name="Tc_nNN2MmqoPkGEW2os5gRq2A_14_0"/>
      <w:bookmarkStart w:id="713" w:name="Tc_LJT7FBOykkOfAWkyd4VfBg_13_0"/>
      <w:bookmarkStart w:id="714" w:name="Tc_Vc6ZIBsRm0e8dY7kBEgDCg_12_0"/>
      <w:bookmarkStart w:id="715" w:name="Tc_LzTyUw-CQUiozB0pvRUjkA_11_5"/>
      <w:bookmarkStart w:id="716" w:name="Tc_McsPBG97tkqr-jClCIxUHQ_11_2"/>
      <w:bookmarkStart w:id="717" w:name="Tc_4gHer_sYiUuqup-IH6Ur8A_11_0"/>
      <w:bookmarkStart w:id="718" w:name="Tc_iXvId8LPVUiss9d8QUXqSA_10_0"/>
      <w:bookmarkStart w:id="719" w:name="Tc_sxKrSw9y3UuGF_LfF3oY5Q_9_5"/>
      <w:bookmarkStart w:id="720" w:name="Tc_8wZc5lH0-UG6x6_N-A3Scg_9_2"/>
      <w:bookmarkStart w:id="721" w:name="Tc_rHQh9Idfh06TJdfM6e4XCw_8_0"/>
      <w:bookmarkStart w:id="722" w:name="Tc_L-2jIGii6UC3tg7iFQKAXQ_7_0"/>
      <w:bookmarkStart w:id="723" w:name="Tc_FLPmsVaaqUqFgVEJWC8ASw_6_0"/>
      <w:bookmarkStart w:id="724" w:name="Tc_XSJYR00jK0yAwzFGSeeh1g_5_0"/>
      <w:bookmarkStart w:id="725" w:name="Tc_xag28gjHpk-YaejHnPUl_Q_4_5"/>
      <w:bookmarkStart w:id="726" w:name="Tc_rnwSLWY8m0q1Os3eQKdTAQ_4_2"/>
      <w:bookmarkStart w:id="727" w:name="Tc_dmkFMGJ7qkGz3RmHhv_2PQ_4_0"/>
      <w:bookmarkStart w:id="728" w:name="Tc_eXjD9DsP3Ua15rtnotri4w_3_0"/>
      <w:bookmarkStart w:id="729" w:name="Tc_CPGvO43RZ0C5LaTwbTdqsg_2_5"/>
      <w:bookmarkStart w:id="730" w:name="Tc_VvyBOwlx-0SS2Do7UIgOAQ_2_2"/>
      <w:bookmarkStart w:id="731" w:name="Tc_1q_UeHhEZkaFGGwUbknABg_1_5"/>
      <w:bookmarkStart w:id="732" w:name="Tc_f9rPqsSOMUy3uVj51kpndA_1_2"/>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Pr>
          <w:rFonts w:ascii="Times New Roman;Times;serif" w:hAnsi="Times New Roman;Times;serif"/>
          <w:b/>
          <w:sz w:val="20"/>
        </w:rPr>
        <w:t>8. Balance Sheet Components (in thousands)</w:t>
      </w:r>
    </w:p>
    <w:p>
      <w:pPr>
        <w:pStyle w:val="TextBody"/>
        <w:bidi w:val="0"/>
        <w:spacing w:lineRule="auto" w:line="285" w:before="0" w:after="0"/>
        <w:ind w:left="0" w:right="0" w:hanging="0"/>
        <w:jc w:val="left"/>
        <w:rPr/>
      </w:pPr>
      <w:r>
        <w:rPr/>
        <w:t>​</w:t>
      </w:r>
    </w:p>
    <w:tbl>
      <w:tblPr>
        <w:tblW w:w="8031" w:type="dxa"/>
        <w:jc w:val="left"/>
        <w:tblInd w:w="0" w:type="dxa"/>
        <w:tblLayout w:type="fixed"/>
        <w:tblCellMar>
          <w:top w:w="0" w:type="dxa"/>
          <w:left w:w="0" w:type="dxa"/>
          <w:bottom w:w="0" w:type="dxa"/>
          <w:right w:w="0" w:type="dxa"/>
        </w:tblCellMar>
      </w:tblPr>
      <w:tblGrid>
        <w:gridCol w:w="4906"/>
        <w:gridCol w:w="346"/>
        <w:gridCol w:w="211"/>
        <w:gridCol w:w="691"/>
        <w:gridCol w:w="346"/>
        <w:gridCol w:w="285"/>
        <w:gridCol w:w="855"/>
        <w:gridCol w:w="391"/>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115310" cy="175260"/>
                      <wp:effectExtent l="0" t="0" r="0" b="0"/>
                      <wp:wrapNone/>
                      <wp:docPr id="167" name="Frame167"/>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38785" cy="175260"/>
                      <wp:effectExtent l="0" t="0" r="0" b="0"/>
                      <wp:wrapNone/>
                      <wp:docPr id="170" name="Frame1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80975" cy="175260"/>
                      <wp:effectExtent l="0" t="0" r="0" b="0"/>
                      <wp:wrapNone/>
                      <wp:docPr id="172" name="Frame172"/>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42925" cy="175260"/>
                      <wp:effectExtent l="0" t="0" r="0" b="0"/>
                      <wp:wrapNone/>
                      <wp:docPr id="173" name="Frame173"/>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48285" cy="175260"/>
                      <wp:effectExtent l="0" t="0" r="0" b="0"/>
                      <wp:wrapNone/>
                      <wp:docPr id="174" name="Frame17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Prepaid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69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center"/>
              <w:rPr/>
            </w:pPr>
            <w:r>
              <w:rPr/>
              <w:t>​</w:t>
            </w:r>
          </w:p>
        </w:tc>
        <w:tc>
          <w:tcPr>
            <w:tcW w:w="855" w:type="dxa"/>
            <w:tcBorders/>
            <w:shd w:fill="CCEEFF" w:val="clear"/>
            <w:vAlign w:val="center"/>
          </w:tcPr>
          <w:p>
            <w:pPr>
              <w:pStyle w:val="TableContents"/>
              <w:bidi w:val="0"/>
              <w:spacing w:lineRule="auto" w:line="285" w:before="0" w:after="0"/>
              <w:ind w:left="0" w:right="0" w:hanging="0"/>
              <w:jc w:val="center"/>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research and development manufacturing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pPr>
            <w:r>
              <w:rPr/>
              <w:t>​</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facility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pPr>
            <w:r>
              <w:rPr/>
              <w:t>​</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pPr>
            <w:r>
              <w:rPr/>
              <w:t>​</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1,427</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pPr>
            <w:r>
              <w:rPr/>
              <w:t>​</w:t>
            </w:r>
          </w:p>
        </w:tc>
        <w:tc>
          <w:tcPr>
            <w:tcW w:w="855" w:type="dxa"/>
            <w:tcBorders/>
            <w:vAlign w:val="center"/>
          </w:tcPr>
          <w:p>
            <w:pPr>
              <w:pStyle w:val="TableContents"/>
              <w:bidi w:val="0"/>
              <w:spacing w:lineRule="auto" w:line="285" w:before="0" w:after="0"/>
              <w:ind w:left="0" w:right="0" w:hanging="0"/>
              <w:jc w:val="center"/>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Laboratory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2,646</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Computer equipment and purchased software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pPr>
            <w:r>
              <w:rPr/>
              <w:t> </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pPr>
            <w:r>
              <w:rPr/>
              <w:t> </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pPr>
            <w:r>
              <w:rPr/>
              <w:t> </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(2,677)</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(2,649)</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Accrued and Other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pPr>
            <w:r>
              <w:rPr/>
              <w:t>​</w:t>
            </w:r>
          </w:p>
        </w:tc>
        <w:tc>
          <w:tcPr>
            <w:tcW w:w="855" w:type="dxa"/>
            <w:tcBorders/>
            <w:vAlign w:val="center"/>
          </w:tcPr>
          <w:p>
            <w:pPr>
              <w:pStyle w:val="TableContents"/>
              <w:bidi w:val="0"/>
              <w:spacing w:lineRule="auto" w:line="285" w:before="0" w:after="0"/>
              <w:ind w:left="0" w:right="0" w:hanging="0"/>
              <w:jc w:val="center"/>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clinical trial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3,566</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manufacturing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1,794</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pPr>
            <w:r>
              <w:rPr/>
              <w:t> </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Personnel related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pPr>
            <w:r>
              <w:rPr/>
              <w:t> </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legal and accounting</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pPr>
            <w:r>
              <w:rPr/>
              <w:t>​</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6,985</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6,486</w:t>
            </w:r>
          </w:p>
        </w:tc>
        <w:tc>
          <w:tcPr>
            <w:tcW w:w="3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2026 and 2025, the Company recorded approximately $29,000 and $22,000 in depreciation expense, respectively.</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9. Warrants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May 6, 2024, the company completed a registered direct offering in which the Company sold an aggregate of 13,512,699 shares of common stock and common warrants to purchase up to 13,078,509 shares of common stock (or pre-funded warrants in lieu thereof) at a combined offering price of $1.7312 per share and common warrant, and pre-funded warrants to purchase up to 4,144,085 shares of common stock and common warrants to purchase up to 4,010,927 shares of common stock (or pre-funded warrants in lieu thereof), at a combined offering price of $1.7311 per share underlying each pre-funded warrant and common warrant, which equals the offering price per share and common warrant less the $0.0001 exercise price per share of the pre-funded warrants.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pre-funded warrants have an exercise price per share of common stock equal to $0.0001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In accordance with accounting guidance discussed in Note 2, the Company recorded $5.0 million to additional paid-in capital upon issuance of the pre-funded warrants on May 6, 2024. In May 2025, an additional 4,131,828 pre-funded warrants were issued in connection with the exercise of common warrants. As of March 31, 2026, none of the pre-funded warrants have been exercised and 8,275,913 pre-funded warrants remain outstanding.</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common warrants had an exercise price per share of common stock equal to $3.50 per share (or $3.4999 per pre-funded warrant). The exercise price and the number of shares of common stock (or pre-funded warrants in lieu thereof) issuable upon exercise of the common warrants were subject to appropriate adjustments in the event of certain stock dividends and distributions, stock splits, stock combinations, reclassifications or similar events affecting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common stock. The common warrants were exercisable at any time after the date of issuance and had an expiration date of June 30, 2025. In accordance with accounting guidance discussed in Note 2, “Summary of Significant Accounting Policies,” the Company recorded a decrease in fair value of warrant liability of $25.1 million to other income in its condensed consolidated statement of operations and comprehensive loss for the three months ended March 31, 2025. As of June 30, 2025, the expiration date of the common warrants, all of the common warrants had been exercised, resulting in proceeds of $54.3 million.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733" w:name="Tc_knveDba7Hky7Yu5fG5uMKQ_7_0"/>
      <w:bookmarkStart w:id="734" w:name="Tc_2o-Xqx1Z3UicDJP3zgEldA_6_0"/>
      <w:bookmarkStart w:id="735" w:name="Tc_lccdcGZmqUOZJoM05H5cxg_5_0"/>
      <w:bookmarkStart w:id="736" w:name="Tc_mTlpDilcvUGn_99otx0Uaw_4_0"/>
      <w:bookmarkStart w:id="737" w:name="Tc_yz5nXfVrfU-UFT8J9QzQrg_3_0"/>
      <w:bookmarkStart w:id="738" w:name="Tc_zTsmY-56KEqHO-laZieC6w_2_4"/>
      <w:bookmarkStart w:id="739" w:name="Tc_H9DwYqHUvECBPiHgKcR-rg_2_2"/>
      <w:bookmarkStart w:id="740" w:name="Tc_WE9Y3qEa5kG42gEMI5HSMg_1_4"/>
      <w:bookmarkStart w:id="741" w:name="Tc_0knmeuKzfUO0ebAr7Y1_7g_1_2"/>
      <w:bookmarkEnd w:id="733"/>
      <w:bookmarkEnd w:id="734"/>
      <w:bookmarkEnd w:id="735"/>
      <w:bookmarkEnd w:id="736"/>
      <w:bookmarkEnd w:id="737"/>
      <w:bookmarkEnd w:id="738"/>
      <w:bookmarkEnd w:id="739"/>
      <w:bookmarkEnd w:id="740"/>
      <w:bookmarkEnd w:id="741"/>
      <w:r>
        <w:rPr>
          <w:rFonts w:ascii="Times New Roman;Times;serif" w:hAnsi="Times New Roman;Times;serif"/>
          <w:b/>
          <w:sz w:val="20"/>
        </w:rPr>
        <w:t>10. Common Stock</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March 31, 2026, the amended and restated certificate of incorporation authorizes the Company to issue 290 million shares of common stock and 10 million shares of preferred stock.</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Each share of common stock is entitled to one vote. Common stockholders are entitled to dividends if and when declared by the board of directors. As of March 31, 2026, no dividends on common stock had been declared.</w:t>
      </w:r>
    </w:p>
    <w:p>
      <w:pPr>
        <w:pStyle w:val="TextBody"/>
        <w:bidi w:val="0"/>
        <w:spacing w:lineRule="auto" w:line="285" w:before="0" w:after="0"/>
        <w:ind w:left="0" w:right="0" w:hanging="0"/>
        <w:jc w:val="left"/>
        <w:rPr/>
      </w:pPr>
      <w:r>
        <w:rPr/>
        <w:t>​</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rPr>
        <w:t>On August 6, 2024, the Company entered into an Open Market Sale Agreement</w:t>
      </w:r>
      <w:r>
        <w:rPr>
          <w:rFonts w:ascii="Times New Roman;Times;serif" w:hAnsi="Times New Roman;Times;serif"/>
          <w:sz w:val="15"/>
        </w:rPr>
        <w:t>SM</w:t>
      </w:r>
      <w:r>
        <w:rPr>
          <w:rFonts w:ascii="Times New Roman;Times;serif" w:hAnsi="Times New Roman;Times;serif"/>
          <w:sz w:val="20"/>
        </w:rPr>
        <w:t xml:space="preserve"> (the “2024 Sales Agreement”) with Jefferies LLC (“Jefferies”) to sell shares of the Company’s common stock, from time-to-time, with aggregate gross sales proceeds of up to $100.0 million, through an at-the-market equity offering program under which Jefferies will act as its sales agent. The issuance and sale of shares of common stock by the Company pursuant to the 2024 Sales Agreement are deemed an “at-the-market” offering under the Securities Act of 1933, as amended. Jefferies is entitled to compensation for its services up to 3.0% of the gross proceeds of any shares of common stock sold through Jefferies under the 2024 Sales Agreement.</w:t>
      </w:r>
    </w:p>
    <w:p>
      <w:pPr>
        <w:pStyle w:val="TextBody"/>
        <w:bidi w:val="0"/>
        <w:spacing w:lineRule="auto" w:line="285" w:before="0" w:after="0"/>
        <w:ind w:left="0" w:right="0" w:firstLine="720"/>
        <w:jc w:val="left"/>
        <w:rPr/>
      </w:pPr>
      <w:r>
        <w:rPr/>
        <w:t>​</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rPr>
        <w:t>On January 20, 2026, in connection with the January 2026 financing, as further described in Note 1, the Company suspended the offering of any shares of its common stock under the 2024 Sales Agreement and, on March 13, 2026, the Company entered into an Amended and Restated Open Market Sale Agreement</w:t>
      </w:r>
      <w:r>
        <w:rPr>
          <w:rFonts w:ascii="Times New Roman;Times;serif" w:hAnsi="Times New Roman;Times;serif"/>
          <w:sz w:val="15"/>
        </w:rPr>
        <w:t>SM</w:t>
      </w:r>
      <w:r>
        <w:rPr>
          <w:rFonts w:ascii="Times New Roman;Times;serif" w:hAnsi="Times New Roman;Times;serif"/>
          <w:sz w:val="20"/>
        </w:rPr>
        <w:t>, dated March 13, 2026 (the “Amended Sales Agreement”), with Jefferies, which amends and restates the 2024 Sales Agreement to increase the maximum aggregate offering price of shares of the Company’s common stock from $100.0 million to $200.0 million.</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2026, the Company did not sell any shares of common stock under its at-the-market offering program. As of March 31, 2026, $200.0 million remained available for sale under the Amended Sales Agreement.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has reserved shares of common stock for issuance as follows:</w:t>
      </w:r>
    </w:p>
    <w:p>
      <w:pPr>
        <w:pStyle w:val="TextBody"/>
        <w:bidi w:val="0"/>
        <w:spacing w:lineRule="auto" w:line="285" w:before="0" w:after="0"/>
        <w:ind w:left="0" w:right="0" w:hanging="0"/>
        <w:jc w:val="left"/>
        <w:rPr/>
      </w:pPr>
      <w:r>
        <w:rPr/>
        <w:t>​</w:t>
      </w:r>
    </w:p>
    <w:tbl>
      <w:tblPr>
        <w:tblW w:w="7386" w:type="dxa"/>
        <w:jc w:val="left"/>
        <w:tblInd w:w="0" w:type="dxa"/>
        <w:tblLayout w:type="fixed"/>
        <w:tblCellMar>
          <w:top w:w="0" w:type="dxa"/>
          <w:left w:w="0" w:type="dxa"/>
          <w:bottom w:w="0" w:type="dxa"/>
          <w:right w:w="0" w:type="dxa"/>
        </w:tblCellMar>
      </w:tblPr>
      <w:tblGrid>
        <w:gridCol w:w="4126"/>
        <w:gridCol w:w="346"/>
        <w:gridCol w:w="1036"/>
        <w:gridCol w:w="346"/>
        <w:gridCol w:w="1141"/>
        <w:gridCol w:w="391"/>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620010" cy="175260"/>
                      <wp:effectExtent l="0" t="0" r="0" b="0"/>
                      <wp:wrapNone/>
                      <wp:docPr id="175" name="Frame175"/>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57860" cy="175260"/>
                      <wp:effectExtent l="0" t="0" r="0" b="0"/>
                      <wp:wrapNone/>
                      <wp:docPr id="177" name="Frame17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24535" cy="175260"/>
                      <wp:effectExtent l="0" t="0" r="0" b="0"/>
                      <wp:wrapNone/>
                      <wp:docPr id="179" name="Frame17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48285" cy="175260"/>
                      <wp:effectExtent l="0" t="0" r="0" b="0"/>
                      <wp:wrapNone/>
                      <wp:docPr id="180" name="Frame18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lineRule="auto" w:line="285" w:before="0" w:after="0"/>
              <w:ind w:left="0" w:right="0" w:hanging="0"/>
              <w:jc w:val="center"/>
              <w:rPr/>
            </w:pPr>
            <w:r>
              <w:rPr/>
              <w:t>​</w:t>
            </w:r>
          </w:p>
        </w:tc>
        <w:tc>
          <w:tcPr>
            <w:tcW w:w="114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12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41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Pre-funded warrants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8,275,913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8,275,913</w:t>
            </w:r>
          </w:p>
        </w:tc>
        <w:tc>
          <w:tcPr>
            <w:tcW w:w="391" w:type="dxa"/>
            <w:tcBorders/>
            <w:shd w:fill="CCEEFF" w:val="clear"/>
            <w:vAlign w:val="center"/>
          </w:tcPr>
          <w:p>
            <w:pPr>
              <w:pStyle w:val="TableContents"/>
              <w:bidi w:val="0"/>
              <w:spacing w:lineRule="auto" w:line="285" w:before="0" w:after="0"/>
              <w:ind w:left="0" w:right="0" w:hanging="0"/>
              <w:jc w:val="left"/>
              <w:rPr/>
            </w:pPr>
            <w:r>
              <w:rPr/>
              <w:t> </w:t>
            </w:r>
          </w:p>
        </w:tc>
      </w:tr>
      <w:tr>
        <w:trPr/>
        <w:tc>
          <w:tcPr>
            <w:tcW w:w="41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Shares available for future option grants</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6,649,034</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3,007,335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1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options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13,066,326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14,028,177</w:t>
            </w:r>
          </w:p>
        </w:tc>
        <w:tc>
          <w:tcPr>
            <w:tcW w:w="391" w:type="dxa"/>
            <w:tcBorders/>
            <w:shd w:fill="CCEEFF" w:val="clear"/>
            <w:vAlign w:val="center"/>
          </w:tcPr>
          <w:p>
            <w:pPr>
              <w:pStyle w:val="TableContents"/>
              <w:bidi w:val="0"/>
              <w:spacing w:lineRule="auto" w:line="285" w:before="0" w:after="0"/>
              <w:ind w:left="0" w:right="0" w:hanging="0"/>
              <w:jc w:val="left"/>
              <w:rPr/>
            </w:pPr>
            <w:r>
              <w:rPr/>
              <w:t> </w:t>
            </w:r>
          </w:p>
        </w:tc>
      </w:tr>
      <w:tr>
        <w:trPr/>
        <w:tc>
          <w:tcPr>
            <w:tcW w:w="41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Shares reserved for employee stock purchase plan</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91" w:type="dxa"/>
            <w:tcBorders/>
            <w:vAlign w:val="center"/>
          </w:tcPr>
          <w:p>
            <w:pPr>
              <w:pStyle w:val="TableContents"/>
              <w:bidi w:val="0"/>
              <w:spacing w:lineRule="auto" w:line="285" w:before="0" w:after="0"/>
              <w:ind w:left="0" w:right="0" w:hanging="0"/>
              <w:jc w:val="left"/>
              <w:rPr/>
            </w:pPr>
            <w:r>
              <w:rPr/>
              <w:t> </w:t>
            </w:r>
          </w:p>
        </w:tc>
      </w:tr>
      <w:tr>
        <w:trPr/>
        <w:tc>
          <w:tcPr>
            <w:tcW w:w="41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28,391,273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25,711,425</w:t>
            </w:r>
          </w:p>
        </w:tc>
        <w:tc>
          <w:tcPr>
            <w:tcW w:w="391" w:type="dxa"/>
            <w:tcBorders/>
            <w:shd w:fill="CCEEFF" w:val="clear"/>
            <w:vAlign w:val="center"/>
          </w:tcPr>
          <w:p>
            <w:pPr>
              <w:pStyle w:val="TableContents"/>
              <w:bidi w:val="0"/>
              <w:spacing w:lineRule="auto" w:line="285" w:before="0" w:after="0"/>
              <w:ind w:left="0" w:right="0" w:hanging="0"/>
              <w:jc w:val="left"/>
              <w:rPr/>
            </w:pPr>
            <w:r>
              <w:rPr/>
              <w:t>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11. Stock Option Plans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February 2014, the Company adopted the 2014 Equity Incentive Plan (the “2014 Plan”), which was subsequently amended in November 2014, July 2015 and September 2015, under which it granted incentive stock options (“ISOs”) or non-qualified stock options (“NSOs”). Terms of stock agreements, including vesting requirements, are determined by the board of directors or a committee authorized by the board of directors, subject to the provisions of the 2014 Plan. In general, awards granted by the Company vest over four years and have a maximum exercise term of 10 years. The 2014 Plan provides that grants must be at an exercise price of 100% of fair market value of the Company’s common stock as determined by the board of directors on the date of the grant.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consummation of the IPO in March 2016, the 2016 Equity Incentive Award Plan (the “2016 Plan”) became effective. Under the 2016 Plan, ISOs, NSOs, stock purchase rights and other stock-based awards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742" w:name="Tc_VoIVdVNiQEqY54PxYBFOew_11_6"/>
      <w:bookmarkStart w:id="743" w:name="Tc_i8npDnYnh0OwzoHpLKwucA_11_0"/>
      <w:bookmarkStart w:id="744" w:name="Tc_1Sh2lGnRG0qFezm32d7afg_10_0"/>
      <w:bookmarkStart w:id="745" w:name="Tc_KZbrSxnVOUu_OwFFCE1P4Q_9_2"/>
      <w:bookmarkStart w:id="746" w:name="Tc_KshmGpdlmUKbyTackSYRDQ_9_0"/>
      <w:bookmarkStart w:id="747" w:name="Tc_bechm81lY0-E_pCez0Q4Qg_8_0"/>
      <w:bookmarkStart w:id="748" w:name="Tc_OKO1KQlpjEG2PNsHAaByMA_7_7"/>
      <w:bookmarkStart w:id="749" w:name="Tc_mLi3reOCzE-skRvn73kmqg_7_4"/>
      <w:bookmarkStart w:id="750" w:name="Tc_4dh-U_EeSkWWB6cCg9nsdQ_7_0"/>
      <w:bookmarkStart w:id="751" w:name="Tc_81Nw-qd1FkWp0z75KepVNw_6_6"/>
      <w:bookmarkStart w:id="752" w:name="Tc__FizK-tXukqYtwW6P8lWAA_6_0"/>
      <w:bookmarkStart w:id="753" w:name="Tc_oml6Ce2LAUmOlBOW6GlI0w_5_6"/>
      <w:bookmarkStart w:id="754" w:name="Tc_pwqDRj8p0UWvLzuS3C4Egg_5_4"/>
      <w:bookmarkStart w:id="755" w:name="Tc_EaiT20I8pkCIAbz_YJordA_5_2"/>
      <w:bookmarkStart w:id="756" w:name="Tc_UJq3kNKMx0yjH1jlSd59RA_4_6"/>
      <w:bookmarkStart w:id="757" w:name="Tc_pHjDqFOyKk-VwC492QnfIA_4_4"/>
      <w:bookmarkStart w:id="758" w:name="Tc_BR0K0OgKbU6onmXGRiR0zA_4_2"/>
      <w:bookmarkStart w:id="759" w:name="Tc_XvrXe0QDUkm3q74d1srPdg_3_6"/>
      <w:bookmarkStart w:id="760" w:name="Tc_YeNtQtj4Dk-SwZUsk189vg_3_2"/>
      <w:bookmarkStart w:id="761" w:name="Tc_R1JZUSZyakiwmCdcE9Fiiw_2_6"/>
      <w:bookmarkStart w:id="762" w:name="Tc_fE1KA3wcbEWGv-87o-WbFQ_1_4"/>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r>
        <w:rPr>
          <w:rFonts w:ascii="Times New Roman;Times;serif" w:hAnsi="Times New Roman;Times;serif"/>
          <w:sz w:val="20"/>
        </w:rPr>
        <w:t>may be granted. Terms of stock agreements, including vesting requirements, are determined by the board of directors or a committee authorized by the board of directors, subject to the provisions of the 2016 Plan. In general, awards granted by the Company vest over four years and have a maximum exercise term of 10 years. The 2016 Plan provides that grants must be at an exercise price of 100% of fair market value of the Company’s common stock as determined by the board of directors on the date of the grant. In conjunction with adopting the 2016 Plan, the 2014 Plan was terminated and no further awards will be granted under the 2014 Plan. Options outstanding under the 2014 Plan as of the effective date of the 2016 Plan that are forfeited or lapse unexercised may be re-issued under the 2016 Plan, up to a maximum of 1,136,229 shares.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Activity under the Company’s stock option plans is set forth below:</w:t>
      </w:r>
    </w:p>
    <w:p>
      <w:pPr>
        <w:pStyle w:val="TextBody"/>
        <w:bidi w:val="0"/>
        <w:spacing w:lineRule="auto" w:line="285" w:before="0" w:after="0"/>
        <w:ind w:left="0" w:right="0" w:hanging="0"/>
        <w:jc w:val="left"/>
        <w:rPr/>
      </w:pPr>
      <w:r>
        <w:rPr/>
        <w:t>​</w:t>
      </w:r>
    </w:p>
    <w:tbl>
      <w:tblPr>
        <w:tblW w:w="6547" w:type="dxa"/>
        <w:jc w:val="left"/>
        <w:tblInd w:w="0" w:type="dxa"/>
        <w:tblLayout w:type="fixed"/>
        <w:tblCellMar>
          <w:top w:w="0" w:type="dxa"/>
          <w:left w:w="0" w:type="dxa"/>
          <w:bottom w:w="0" w:type="dxa"/>
          <w:right w:w="0" w:type="dxa"/>
        </w:tblCellMar>
      </w:tblPr>
      <w:tblGrid>
        <w:gridCol w:w="2596"/>
        <w:gridCol w:w="346"/>
        <w:gridCol w:w="931"/>
        <w:gridCol w:w="346"/>
        <w:gridCol w:w="1036"/>
        <w:gridCol w:w="346"/>
        <w:gridCol w:w="241"/>
        <w:gridCol w:w="705"/>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48460" cy="175260"/>
                      <wp:effectExtent l="0" t="0" r="0" b="0"/>
                      <wp:wrapNone/>
                      <wp:docPr id="181" name="Frame18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91185" cy="175260"/>
                      <wp:effectExtent l="0" t="0" r="0" b="0"/>
                      <wp:wrapNone/>
                      <wp:docPr id="183" name="Frame18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57860" cy="175260"/>
                      <wp:effectExtent l="0" t="0" r="0" b="0"/>
                      <wp:wrapNone/>
                      <wp:docPr id="185" name="Frame18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53035" cy="175260"/>
                      <wp:effectExtent l="0" t="0" r="0" b="0"/>
                      <wp:wrapNone/>
                      <wp:docPr id="187" name="Frame18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47675" cy="175260"/>
                      <wp:effectExtent l="0" t="0" r="0" b="0"/>
                      <wp:wrapNone/>
                      <wp:docPr id="188" name="Frame188"/>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28"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r>
      <w:tr>
        <w:trPr/>
        <w:tc>
          <w:tcPr>
            <w:tcW w:w="25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t> </w:t>
              <w:noBreakHyphen/>
            </w:r>
          </w:p>
        </w:tc>
      </w:tr>
      <w:tr>
        <w:trPr/>
        <w:tc>
          <w:tcPr>
            <w:tcW w:w="25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5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Available</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46" w:type="dxa"/>
            <w:tcBorders/>
            <w:vAlign w:val="center"/>
          </w:tcPr>
          <w:p>
            <w:pPr>
              <w:pStyle w:val="TableContents"/>
              <w:bidi w:val="0"/>
              <w:spacing w:lineRule="auto" w:line="285" w:before="0" w:after="0"/>
              <w:ind w:left="0" w:right="0" w:hanging="0"/>
              <w:jc w:val="left"/>
              <w:rPr/>
            </w:pPr>
            <w:r>
              <w:rPr/>
              <w:t>​</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25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Grant</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lineRule="auto" w:line="285"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25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3,007,335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14,028,177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r>
      <w:tr>
        <w:trPr/>
        <w:tc>
          <w:tcPr>
            <w:tcW w:w="25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shares authorized</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2,987,865</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 </w:t>
            </w:r>
          </w:p>
        </w:tc>
        <w:tc>
          <w:tcPr>
            <w:tcW w:w="705" w:type="dxa"/>
            <w:tcBorders/>
            <w:vAlign w:val="center"/>
          </w:tcPr>
          <w:p>
            <w:pPr>
              <w:pStyle w:val="TableContents"/>
              <w:bidi w:val="0"/>
              <w:spacing w:lineRule="auto" w:line="285" w:before="0" w:after="0"/>
              <w:ind w:left="0" w:right="0" w:hanging="0"/>
              <w:jc w:val="right"/>
              <w:rPr/>
            </w:pPr>
            <w:r>
              <w:rPr/>
              <w:t>—</w:t>
            </w:r>
          </w:p>
        </w:tc>
      </w:tr>
      <w:tr>
        <w:trPr/>
        <w:tc>
          <w:tcPr>
            <w:tcW w:w="25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Options granted</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pPr>
            <w:r>
              <w:rPr/>
              <w:t> </w:t>
            </w:r>
          </w:p>
        </w:tc>
        <w:tc>
          <w:tcPr>
            <w:tcW w:w="7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14.63</w:t>
            </w:r>
          </w:p>
        </w:tc>
      </w:tr>
      <w:tr>
        <w:trPr/>
        <w:tc>
          <w:tcPr>
            <w:tcW w:w="25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Options exercised </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(308,017)</w:t>
            </w:r>
          </w:p>
        </w:tc>
        <w:tc>
          <w:tcPr>
            <w:tcW w:w="34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 </w:t>
            </w:r>
          </w:p>
        </w:tc>
        <w:tc>
          <w:tcPr>
            <w:tcW w:w="70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25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Options forfeited</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661,334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(661,334)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pPr>
            <w:r>
              <w:rPr/>
              <w:t> </w:t>
            </w:r>
          </w:p>
        </w:tc>
        <w:tc>
          <w:tcPr>
            <w:tcW w:w="7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14.23</w:t>
            </w:r>
          </w:p>
        </w:tc>
      </w:tr>
      <w:tr>
        <w:trPr/>
        <w:tc>
          <w:tcPr>
            <w:tcW w:w="25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6,649,034</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13,066,326</w:t>
            </w:r>
          </w:p>
        </w:tc>
        <w:tc>
          <w:tcPr>
            <w:tcW w:w="34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4.76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763" w:name="Tc_KaZL0ByKPEKdSxZN2_Jrkw_6_5"/>
      <w:bookmarkStart w:id="764" w:name="Tc_tmdC1az5FEyF49DqcMwQ0Q_6_2"/>
      <w:bookmarkStart w:id="765" w:name="Tc_ztxMso-AJkCtj5nYtFwstw_6_0"/>
      <w:bookmarkStart w:id="766" w:name="Tc_ncdGCUOwrUGutVJD3OZF8A_5_0"/>
      <w:bookmarkStart w:id="767" w:name="Tc_n9NlAiDumEOZlf15n86Oiw_4_5"/>
      <w:bookmarkStart w:id="768" w:name="Tc_AWDaNqBB-EuKe2f5dgQp3w_4_2"/>
      <w:bookmarkStart w:id="769" w:name="Tc_o6EuCTLBoUaNDJc7V9InGg_4_0"/>
      <w:bookmarkStart w:id="770" w:name="Tc_88LGlopQeUidvfJXzs8B1Q_3_5"/>
      <w:bookmarkStart w:id="771" w:name="Tc_DF6r1ycCeESU_7jK8GuVMA_3_2"/>
      <w:bookmarkStart w:id="772" w:name="Tc_qPN-gm-iH0S8kTrtEzKoaQ_2_2"/>
      <w:bookmarkStart w:id="773" w:name="Tc_VFA6IvXuJEek27jdIATyQQ_1_2"/>
      <w:bookmarkStart w:id="774" w:name="_612082e7_baf5_4f1b_ac11_dbd3d5a4800d"/>
      <w:bookmarkEnd w:id="763"/>
      <w:bookmarkEnd w:id="764"/>
      <w:bookmarkEnd w:id="765"/>
      <w:bookmarkEnd w:id="766"/>
      <w:bookmarkEnd w:id="767"/>
      <w:bookmarkEnd w:id="768"/>
      <w:bookmarkEnd w:id="769"/>
      <w:bookmarkEnd w:id="770"/>
      <w:bookmarkEnd w:id="771"/>
      <w:bookmarkEnd w:id="772"/>
      <w:bookmarkEnd w:id="773"/>
      <w:bookmarkEnd w:id="774"/>
      <w:r>
        <w:rPr>
          <w:rFonts w:ascii="Times New Roman;Times;serif" w:hAnsi="Times New Roman;Times;serif"/>
          <w:b/>
          <w:sz w:val="20"/>
        </w:rPr>
        <w:t>12. Stock-Based Compensation</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Company’s results of operations include expenses relating to employee and non-employee stock-based awards as follows (in thousands):</w:t>
      </w:r>
    </w:p>
    <w:p>
      <w:pPr>
        <w:pStyle w:val="TextBody"/>
        <w:bidi w:val="0"/>
        <w:spacing w:lineRule="auto" w:line="285" w:before="0" w:after="0"/>
        <w:ind w:left="0" w:right="0" w:firstLine="720"/>
        <w:jc w:val="left"/>
        <w:rPr/>
      </w:pPr>
      <w:r>
        <w:rPr/>
        <w:t>​</w:t>
      </w:r>
    </w:p>
    <w:tbl>
      <w:tblPr>
        <w:tblW w:w="4958" w:type="dxa"/>
        <w:jc w:val="left"/>
        <w:tblInd w:w="0" w:type="dxa"/>
        <w:tblLayout w:type="fixed"/>
        <w:tblCellMar>
          <w:top w:w="0" w:type="dxa"/>
          <w:left w:w="0" w:type="dxa"/>
          <w:bottom w:w="0" w:type="dxa"/>
          <w:right w:w="0" w:type="dxa"/>
        </w:tblCellMar>
      </w:tblPr>
      <w:tblGrid>
        <w:gridCol w:w="2311"/>
        <w:gridCol w:w="346"/>
        <w:gridCol w:w="211"/>
        <w:gridCol w:w="571"/>
        <w:gridCol w:w="346"/>
        <w:gridCol w:w="211"/>
        <w:gridCol w:w="571"/>
        <w:gridCol w:w="39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467485" cy="175260"/>
                      <wp:effectExtent l="0" t="0" r="0" b="0"/>
                      <wp:wrapNone/>
                      <wp:docPr id="189" name="Frame18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62585" cy="175260"/>
                      <wp:effectExtent l="0" t="0" r="0" b="0"/>
                      <wp:wrapNone/>
                      <wp:docPr id="192" name="Frame1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62585" cy="175260"/>
                      <wp:effectExtent l="0" t="0" r="0" b="0"/>
                      <wp:wrapNone/>
                      <wp:docPr id="195" name="Frame19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48285" cy="175260"/>
                      <wp:effectExtent l="0" t="0" r="0" b="0"/>
                      <wp:wrapNone/>
                      <wp:docPr id="196" name="Frame19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231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231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23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23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23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2026 and 2025, the Company recorded no income tax benefits for the net operating losses (NOLs) incurred due to the uncertainty of realizing a benefit from those items. The Company continues to maintain a full valuation allowance against its net deferred tax assets.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14. Facility Lease</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On October 22, 2024, the Company entered into an operating sub-sublease agreement, pursuant to which the Company sub-leased approximately 20,916 square feet of office and lab space. The sub-sublease has a term of three years commencing on February 21, 2025 with an option to extend at fair market value for an additional 27 months. The Company records rent expense on a straight-line basis over the effective term of the lease, including any free rent periods and incentives. As the interest rate implicit in lease arrangements is typically not readily available, in calculating the present value of the lease payments, the Company has utilized its incremental borrowing rate, which is determined based on the prevailing market rates for collateralized debt with maturity dates commensurate with the term of its lease.</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obligation for the payment of base rent for the premises began on the commencement date and is initially $33,833 per month, up to monthly base rent of $47,200 during the third year of the sub-sublease. In addition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775" w:name="Tc_HVL1JaLbHE6NCU9bkvbcpA_6_2"/>
      <w:bookmarkStart w:id="776" w:name="Tc_V82bunzj3ECOclN3023o6A_6_0"/>
      <w:bookmarkStart w:id="777" w:name="Tc_fVdjyJfE2UeEOX1F4uuFSg_5_0"/>
      <w:bookmarkStart w:id="778" w:name="Tc_xzwQ6E17LkSjuciXR0lFMQ_4_0"/>
      <w:bookmarkStart w:id="779" w:name="Tc_KOFC_6bVd0Odv2UkvkQKSA_3_0"/>
      <w:bookmarkStart w:id="780" w:name="Tc_0UvnOKBsqE6mpnkNQ_vbGA_2_2"/>
      <w:bookmarkStart w:id="781" w:name="Tc_E9ZZLde_HEq58XF53UHDTQ_2_0"/>
      <w:bookmarkStart w:id="782" w:name="Tc_z7BbNGaI206OYzSlD96vnQ_1_0"/>
      <w:bookmarkStart w:id="783" w:name="Tc_GQOKS4aRPUW4oTLfHiJfqg_6_2"/>
      <w:bookmarkStart w:id="784" w:name="Tc_ttGVyi_HFkqITc6Sp6hSwg_6_0"/>
      <w:bookmarkStart w:id="785" w:name="Tc_GBPMwqQrJEmZeJbdHntBxg_5_0"/>
      <w:bookmarkStart w:id="786" w:name="Tc_snSE8R7QrkKXvbZs0EE38Q_4_0"/>
      <w:bookmarkStart w:id="787" w:name="Tc_gpzSMZdguEStQduWt3YTsg_3_0"/>
      <w:bookmarkStart w:id="788" w:name="Tc_nRqQ0To1f0OMJNZywd1blw_2_2"/>
      <w:bookmarkStart w:id="789" w:name="Tc_b5E5fo-m3EKVpbXqvMuK7Q_2_0"/>
      <w:bookmarkStart w:id="790" w:name="Tc_w3IkWdTke0WNoYpSII7NXg_1_0"/>
      <w:bookmarkStart w:id="791" w:name="_9d4f7e36_53ea_4720_9bc0_537a022197d2"/>
      <w:bookmarkStart w:id="792" w:name="Tc__do_cUaXIkOWV8XpPDSvNg_11_0"/>
      <w:bookmarkStart w:id="793" w:name="Tc_6lCf58sdJ0meZnrJ8G_new_10_8"/>
      <w:bookmarkStart w:id="794" w:name="Tc_5F4IZCzSVkKnG7HL-9I8eA_10_5"/>
      <w:bookmarkStart w:id="795" w:name="Tc_pIT6XUamDUGx5Q25E0zWZg_10_0"/>
      <w:bookmarkStart w:id="796" w:name="Tc_ry7UNLDiFUCgR1kEXxeySg_9_8"/>
      <w:bookmarkStart w:id="797" w:name="Tc_VQ8j4x0Tn0unXigxEwkmBA_9_7"/>
      <w:bookmarkStart w:id="798" w:name="Tc_W2M4vnFHHUeuczvkd2nKmQ_9_4"/>
      <w:bookmarkStart w:id="799" w:name="Tc_ygY2VOzluECsn22s-URXdw_9_0"/>
      <w:bookmarkStart w:id="800" w:name="Tc_g8TNrBDri0erof4dgttYow_8_0"/>
      <w:bookmarkStart w:id="801" w:name="Tc_jazax5Tu-0661h3h6bxamw_7_7"/>
      <w:bookmarkStart w:id="802" w:name="Tc_KuO3FZXySUuUgRvsc5HOdA_7_4"/>
      <w:bookmarkStart w:id="803" w:name="Tc_TVXs4Zqiuk6UIqCvm5bpEg_7_0"/>
      <w:bookmarkStart w:id="804" w:name="Tc_rAymU2U_z0urI4PlVtRMzw_6_2"/>
      <w:bookmarkStart w:id="805" w:name="Tc_ER6gNgv_w0mXoVHtNxTyug_6_0"/>
      <w:bookmarkStart w:id="806" w:name="Tc_4avdKYnqck2iTXZ1CjzTcw_5_7"/>
      <w:bookmarkStart w:id="807" w:name="Tc_jlREa1JRqE2snBZArLeEKw_5_4"/>
      <w:bookmarkStart w:id="808" w:name="Tc_rZlitWhcAE6jBk4CmJFb0Q_5_2"/>
      <w:bookmarkStart w:id="809" w:name="Tc__7xOTYIW-UGcK3-sgEyCOA_5_0"/>
      <w:bookmarkStart w:id="810" w:name="Tc_-hDsejkmaE6FSpHoSb9nvw_4_0"/>
      <w:bookmarkStart w:id="811" w:name="Tc_A3Da4LO9hUmL1PRTF3hWGg_3_7"/>
      <w:bookmarkStart w:id="812" w:name="Tc_GMGX0xxJLkeKd3RssUjgcw_3_4"/>
      <w:bookmarkStart w:id="813" w:name="Tc_DyqyBjSGGEuBjrMFIRwSFw_3_2"/>
      <w:bookmarkStart w:id="814" w:name="Tc_NPoRnypdDUG7UbE-TVKcaA_2_4"/>
      <w:bookmarkStart w:id="815" w:name="Tc_NNymVTrYCki-Y6vc80C4dg_2_2"/>
      <w:bookmarkStart w:id="816" w:name="Tc_rdgP9xrFYkqFl371cO-y0g_1_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r>
        <w:rPr>
          <w:rFonts w:ascii="Times New Roman;Times;serif" w:hAnsi="Times New Roman;Times;serif"/>
          <w:sz w:val="20"/>
        </w:rPr>
        <w:t>to base rent, the Company is obligated to pay its proportionate share of taxes, insurance and operating expenses. In November 2024, the Company paid the sublandlord $231,235 in prepaid rent, which was applied to the monthly base rent and the Company’s proportionate share of additional expenses for the first three months of the term of the sub-sublease.</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Although the non-cancellable lease term commenced on February 21, 2025, for purposes of determining the right-of-use asset balance, in accordance with ASC Topic 842, the Company used November 25, 2024 as the commencement date, the date on which the sublandlord granted the Company access to the premises. The sub-sublease is a net lease, as the non-lease components (i.e., common area maintenance) are paid separately from rent based on actual costs incurred. Therefore, the non-lease components were not included in the right-of-use asset and liability and are reflected as an expense in the period incurred.</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March 31, 2026 and December 31, 2025, the right-of-use asset under the operating lease was approximately $0.8 million. The elements of lease expense under the operating lease for the three months ended March 31, 2026 were as follows (in thousands):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04"/>
        <w:gridCol w:w="346"/>
        <w:gridCol w:w="2121"/>
        <w:gridCol w:w="346"/>
        <w:gridCol w:w="211"/>
        <w:gridCol w:w="764"/>
        <w:gridCol w:w="346"/>
        <w:gridCol w:w="211"/>
        <w:gridCol w:w="764"/>
        <w:gridCol w:w="192"/>
      </w:tblGrid>
      <w:tr>
        <w:trPr/>
        <w:tc>
          <w:tcPr>
            <w:tcW w:w="4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114040" cy="175260"/>
                      <wp:effectExtent l="0" t="0" r="0" b="0"/>
                      <wp:wrapNone/>
                      <wp:docPr id="197" name="Frame197"/>
                      <a:graphic xmlns:a="http://schemas.openxmlformats.org/drawingml/2006/main">
                        <a:graphicData uri="http://schemas.microsoft.com/office/word/2010/wordprocessingShape">
                          <wps:wsp>
                            <wps:cNvSpPr txBox="1"/>
                            <wps:spPr>
                              <a:xfrm>
                                <a:off x="0" y="0"/>
                                <a:ext cx="3114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46835" cy="175260"/>
                      <wp:effectExtent l="0" t="0" r="0" b="0"/>
                      <wp:wrapNone/>
                      <wp:docPr id="199" name="Frame199"/>
                      <a:graphic xmlns:a="http://schemas.openxmlformats.org/drawingml/2006/main">
                        <a:graphicData uri="http://schemas.microsoft.com/office/word/2010/wordprocessingShape">
                          <wps:wsp>
                            <wps:cNvSpPr txBox="1"/>
                            <wps:spPr>
                              <a:xfrm>
                                <a:off x="0" y="0"/>
                                <a:ext cx="1346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85140" cy="175260"/>
                      <wp:effectExtent l="0" t="0" r="0" b="0"/>
                      <wp:wrapNone/>
                      <wp:docPr id="202" name="Frame202"/>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85140" cy="175260"/>
                      <wp:effectExtent l="0" t="0" r="0" b="0"/>
                      <wp:wrapNone/>
                      <wp:docPr id="205" name="Frame205"/>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21920" cy="175260"/>
                      <wp:effectExtent l="0" t="0" r="0" b="0"/>
                      <wp:wrapNone/>
                      <wp:docPr id="206" name="Frame206"/>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04"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96"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2" w:type="dxa"/>
            <w:tcBorders/>
            <w:vAlign w:val="center"/>
          </w:tcPr>
          <w:p>
            <w:pPr>
              <w:pStyle w:val="TableContents"/>
              <w:bidi w:val="0"/>
              <w:spacing w:lineRule="auto" w:line="285" w:before="0" w:after="0"/>
              <w:ind w:left="0" w:right="0" w:hanging="0"/>
              <w:jc w:val="center"/>
              <w:rPr/>
            </w:pPr>
            <w:r>
              <w:rPr/>
              <w:t> </w:t>
            </w:r>
          </w:p>
        </w:tc>
      </w:tr>
      <w:tr>
        <w:trPr/>
        <w:tc>
          <w:tcPr>
            <w:tcW w:w="490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1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Statements of operations and</w:t>
            </w:r>
          </w:p>
        </w:tc>
        <w:tc>
          <w:tcPr>
            <w:tcW w:w="346" w:type="dxa"/>
            <w:tcBorders/>
            <w:vAlign w:val="center"/>
          </w:tcPr>
          <w:p>
            <w:pPr>
              <w:pStyle w:val="TableContents"/>
              <w:bidi w:val="0"/>
              <w:spacing w:lineRule="auto" w:line="285" w:before="0" w:after="0"/>
              <w:ind w:left="0" w:right="0" w:hanging="0"/>
              <w:jc w:val="left"/>
              <w:rPr/>
            </w:pPr>
            <w:r>
              <w:rPr/>
              <w:t>  ​ ​ ​</w:t>
            </w:r>
          </w:p>
        </w:tc>
        <w:tc>
          <w:tcPr>
            <w:tcW w:w="2296"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92" w:type="dxa"/>
            <w:tcBorders/>
            <w:vAlign w:val="center"/>
          </w:tcPr>
          <w:p>
            <w:pPr>
              <w:pStyle w:val="TableContents"/>
              <w:bidi w:val="0"/>
              <w:spacing w:lineRule="auto" w:line="285" w:before="0" w:after="0"/>
              <w:ind w:left="0" w:right="0" w:hanging="0"/>
              <w:jc w:val="center"/>
              <w:rPr/>
            </w:pPr>
            <w:r>
              <w:rPr/>
              <w:t> </w:t>
            </w:r>
          </w:p>
        </w:tc>
      </w:tr>
      <w:tr>
        <w:trPr/>
        <w:tc>
          <w:tcPr>
            <w:tcW w:w="490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comprehensive loss location</w:t>
            </w:r>
          </w:p>
        </w:tc>
        <w:tc>
          <w:tcPr>
            <w:tcW w:w="346" w:type="dxa"/>
            <w:tcBorders/>
            <w:vAlign w:val="center"/>
          </w:tcPr>
          <w:p>
            <w:pPr>
              <w:pStyle w:val="TableContents"/>
              <w:bidi w:val="0"/>
              <w:spacing w:lineRule="auto" w:line="285" w:before="0" w:after="0"/>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2" w:type="dxa"/>
            <w:tcBorders/>
            <w:vAlign w:val="center"/>
          </w:tcPr>
          <w:p>
            <w:pPr>
              <w:pStyle w:val="TableContents"/>
              <w:bidi w:val="0"/>
              <w:spacing w:lineRule="auto" w:line="285" w:before="0" w:after="0"/>
              <w:ind w:left="0" w:right="0" w:hanging="0"/>
              <w:jc w:val="center"/>
              <w:rPr/>
            </w:pPr>
            <w:r>
              <w:rPr/>
              <w:t>​</w:t>
            </w:r>
          </w:p>
        </w:tc>
      </w:tr>
      <w:tr>
        <w:trPr/>
        <w:tc>
          <w:tcPr>
            <w:tcW w:w="49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Costs of operating lease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764"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764" w:type="dxa"/>
            <w:tcBorders/>
            <w:shd w:fill="CCEEFF" w:val="clear"/>
            <w:vAlign w:val="center"/>
          </w:tcPr>
          <w:p>
            <w:pPr>
              <w:pStyle w:val="TableContents"/>
              <w:bidi w:val="0"/>
              <w:spacing w:lineRule="auto" w:line="285" w:before="0" w:after="0"/>
              <w:ind w:left="0" w:right="0" w:hanging="0"/>
              <w:jc w:val="center"/>
              <w:rPr/>
            </w:pPr>
            <w:r>
              <w:rPr/>
              <w:t>​</w:t>
            </w:r>
          </w:p>
        </w:tc>
        <w:tc>
          <w:tcPr>
            <w:tcW w:w="192" w:type="dxa"/>
            <w:tcBorders/>
            <w:shd w:fill="CCEEFF" w:val="clear"/>
            <w:vAlign w:val="center"/>
          </w:tcPr>
          <w:p>
            <w:pPr>
              <w:pStyle w:val="TableContents"/>
              <w:bidi w:val="0"/>
              <w:spacing w:lineRule="auto" w:line="285" w:before="0" w:after="0"/>
              <w:ind w:left="0" w:right="0" w:hanging="0"/>
              <w:jc w:val="center"/>
              <w:rPr/>
            </w:pPr>
            <w:r>
              <w:rPr/>
              <w:t>​</w:t>
            </w:r>
          </w:p>
        </w:tc>
      </w:tr>
      <w:tr>
        <w:trPr/>
        <w:tc>
          <w:tcPr>
            <w:tcW w:w="490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costs</w:t>
            </w:r>
          </w:p>
        </w:tc>
        <w:tc>
          <w:tcPr>
            <w:tcW w:w="346" w:type="dxa"/>
            <w:tcBorders/>
            <w:vAlign w:val="center"/>
          </w:tcPr>
          <w:p>
            <w:pPr>
              <w:pStyle w:val="TableContents"/>
              <w:bidi w:val="0"/>
              <w:spacing w:lineRule="auto" w:line="285" w:before="0" w:after="0"/>
              <w:ind w:left="0" w:right="0" w:hanging="0"/>
              <w:jc w:val="left"/>
              <w:rPr/>
            </w:pPr>
            <w:r>
              <w:rPr/>
              <w:t>​</w:t>
            </w:r>
          </w:p>
        </w:tc>
        <w:tc>
          <w:tcPr>
            <w:tcW w:w="21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br/>
              <w:t>General and administrative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192" w:type="dxa"/>
            <w:tcBorders/>
            <w:vAlign w:val="center"/>
          </w:tcPr>
          <w:p>
            <w:pPr>
              <w:pStyle w:val="TableContents"/>
              <w:bidi w:val="0"/>
              <w:spacing w:lineRule="auto" w:line="285" w:before="0" w:after="0"/>
              <w:ind w:left="0" w:right="0" w:hanging="0"/>
              <w:jc w:val="center"/>
              <w:rPr/>
            </w:pPr>
            <w:r>
              <w:rPr/>
              <w:t>​</w:t>
            </w:r>
          </w:p>
        </w:tc>
      </w:tr>
      <w:tr>
        <w:trPr/>
        <w:tc>
          <w:tcPr>
            <w:tcW w:w="49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Costs of non-lease components (previously common area maintenance)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b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490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lease cost</w:t>
            </w:r>
          </w:p>
        </w:tc>
        <w:tc>
          <w:tcPr>
            <w:tcW w:w="346" w:type="dxa"/>
            <w:tcBorders/>
            <w:vAlign w:val="center"/>
          </w:tcPr>
          <w:p>
            <w:pPr>
              <w:pStyle w:val="TableContents"/>
              <w:bidi w:val="0"/>
              <w:spacing w:lineRule="auto" w:line="285" w:before="0" w:after="0"/>
              <w:ind w:left="0" w:right="0" w:hanging="0"/>
              <w:jc w:val="left"/>
              <w:rPr/>
            </w:pPr>
            <w:r>
              <w:rPr/>
              <w:t>​</w:t>
            </w:r>
          </w:p>
        </w:tc>
        <w:tc>
          <w:tcPr>
            <w:tcW w:w="21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49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64"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64" w:type="dxa"/>
            <w:tcBorders/>
            <w:shd w:fill="CCEEFF" w:val="clear"/>
            <w:vAlign w:val="center"/>
          </w:tcPr>
          <w:p>
            <w:pPr>
              <w:pStyle w:val="TableContents"/>
              <w:bidi w:val="0"/>
              <w:spacing w:lineRule="auto" w:line="285" w:before="0" w:after="0"/>
              <w:ind w:left="0" w:right="0" w:hanging="0"/>
              <w:jc w:val="center"/>
              <w:rPr/>
            </w:pPr>
            <w:r>
              <w:rPr/>
              <w:t>​</w:t>
            </w:r>
          </w:p>
        </w:tc>
        <w:tc>
          <w:tcPr>
            <w:tcW w:w="192" w:type="dxa"/>
            <w:tcBorders/>
            <w:shd w:fill="CCEEFF" w:val="clear"/>
            <w:vAlign w:val="center"/>
          </w:tcPr>
          <w:p>
            <w:pPr>
              <w:pStyle w:val="TableContents"/>
              <w:bidi w:val="0"/>
              <w:spacing w:lineRule="auto" w:line="285" w:before="0" w:after="0"/>
              <w:ind w:left="0" w:right="0" w:hanging="0"/>
              <w:jc w:val="center"/>
              <w:rPr/>
            </w:pPr>
            <w:r>
              <w:rPr/>
              <w:t> </w:t>
            </w:r>
          </w:p>
        </w:tc>
      </w:tr>
      <w:tr>
        <w:trPr/>
        <w:tc>
          <w:tcPr>
            <w:tcW w:w="490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cash flows used for operating lease</w:t>
            </w:r>
          </w:p>
        </w:tc>
        <w:tc>
          <w:tcPr>
            <w:tcW w:w="346" w:type="dxa"/>
            <w:tcBorders/>
            <w:vAlign w:val="center"/>
          </w:tcPr>
          <w:p>
            <w:pPr>
              <w:pStyle w:val="TableContents"/>
              <w:bidi w:val="0"/>
              <w:spacing w:lineRule="auto" w:line="285" w:before="0" w:after="0"/>
              <w:ind w:left="0" w:right="0" w:hanging="0"/>
              <w:jc w:val="left"/>
              <w:rPr/>
            </w:pPr>
            <w:r>
              <w:rPr/>
              <w:t>​</w:t>
            </w:r>
          </w:p>
        </w:tc>
        <w:tc>
          <w:tcPr>
            <w:tcW w:w="21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lineRule="auto" w:line="285" w:before="0" w:after="0"/>
              <w:ind w:left="0" w:right="0" w:hanging="0"/>
              <w:jc w:val="right"/>
              <w:rPr/>
            </w:pPr>
            <w:r>
              <w:rPr/>
              <w:t>—</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49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Remaining lease term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 years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 years</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490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vAlign w:val="center"/>
          </w:tcPr>
          <w:p>
            <w:pPr>
              <w:pStyle w:val="TableContents"/>
              <w:bidi w:val="0"/>
              <w:spacing w:lineRule="auto" w:line="285" w:before="0" w:after="0"/>
              <w:ind w:left="0" w:right="0" w:hanging="0"/>
              <w:jc w:val="left"/>
              <w:rPr/>
            </w:pPr>
            <w:r>
              <w:rPr/>
              <w:t>​</w:t>
            </w:r>
          </w:p>
        </w:tc>
        <w:tc>
          <w:tcPr>
            <w:tcW w:w="21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192"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240" w:after="0"/>
        <w:ind w:left="0" w:right="0" w:firstLine="720"/>
        <w:jc w:val="left"/>
        <w:rPr>
          <w:rFonts w:ascii="Times New Roman;Times;serif" w:hAnsi="Times New Roman;Times;serif"/>
          <w:sz w:val="20"/>
        </w:rPr>
      </w:pPr>
      <w:r>
        <w:rPr>
          <w:rFonts w:ascii="Times New Roman;Times;serif" w:hAnsi="Times New Roman;Times;serif"/>
          <w:sz w:val="20"/>
        </w:rPr>
        <w:t>As of March 31, 2026, minimum rental commitments under this lease were as follows (in thousands):</w:t>
      </w:r>
    </w:p>
    <w:p>
      <w:pPr>
        <w:pStyle w:val="TextBody"/>
        <w:bidi w:val="0"/>
        <w:spacing w:lineRule="auto" w:line="285" w:before="0" w:after="0"/>
        <w:ind w:left="0" w:right="0" w:hanging="0"/>
        <w:jc w:val="left"/>
        <w:rPr/>
      </w:pPr>
      <w:r>
        <w:rPr/>
        <w:t>​</w:t>
      </w:r>
    </w:p>
    <w:tbl>
      <w:tblPr>
        <w:tblW w:w="4114" w:type="dxa"/>
        <w:jc w:val="left"/>
        <w:tblInd w:w="0" w:type="dxa"/>
        <w:tblLayout w:type="fixed"/>
        <w:tblCellMar>
          <w:top w:w="0" w:type="dxa"/>
          <w:left w:w="0" w:type="dxa"/>
          <w:bottom w:w="0" w:type="dxa"/>
          <w:right w:w="0" w:type="dxa"/>
        </w:tblCellMar>
      </w:tblPr>
      <w:tblGrid>
        <w:gridCol w:w="3031"/>
        <w:gridCol w:w="346"/>
        <w:gridCol w:w="211"/>
        <w:gridCol w:w="52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924685" cy="175260"/>
                      <wp:effectExtent l="0" t="0" r="0" b="0"/>
                      <wp:wrapNone/>
                      <wp:docPr id="207" name="Frame207"/>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34010" cy="175260"/>
                      <wp:effectExtent l="0" t="0" r="0" b="0"/>
                      <wp:wrapNone/>
                      <wp:docPr id="210" name="Frame21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0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(in thousands)</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526" w:type="dxa"/>
            <w:tcBorders/>
            <w:vAlign w:val="center"/>
          </w:tcPr>
          <w:p>
            <w:pPr>
              <w:pStyle w:val="TableContents"/>
              <w:bidi w:val="0"/>
              <w:spacing w:lineRule="auto" w:line="285" w:before="0" w:after="0"/>
              <w:ind w:left="0" w:right="0" w:hanging="0"/>
              <w:jc w:val="center"/>
              <w:rPr/>
            </w:pPr>
            <w:r>
              <w:rPr/>
              <w:t>​</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30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566</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924</w:t>
            </w:r>
          </w:p>
        </w:tc>
      </w:tr>
      <w:tr>
        <w:trPr/>
        <w:tc>
          <w:tcPr>
            <w:tcW w:w="30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834</w:t>
            </w:r>
          </w:p>
        </w:tc>
      </w:tr>
    </w:tbl>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Remainder of the year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minimum rental commitments under this lease were as follows (in thousands):</w:t>
      </w:r>
    </w:p>
    <w:p>
      <w:pPr>
        <w:pStyle w:val="TextBody"/>
        <w:bidi w:val="0"/>
        <w:spacing w:lineRule="auto" w:line="285" w:before="0" w:after="0"/>
        <w:ind w:left="0" w:right="0" w:hanging="0"/>
        <w:jc w:val="left"/>
        <w:rPr/>
      </w:pPr>
      <w:r>
        <w:rPr/>
        <w:t>​</w:t>
      </w:r>
    </w:p>
    <w:tbl>
      <w:tblPr>
        <w:tblW w:w="4204" w:type="dxa"/>
        <w:jc w:val="left"/>
        <w:tblInd w:w="0" w:type="dxa"/>
        <w:tblLayout w:type="fixed"/>
        <w:tblCellMar>
          <w:top w:w="0" w:type="dxa"/>
          <w:left w:w="0" w:type="dxa"/>
          <w:bottom w:w="0" w:type="dxa"/>
          <w:right w:w="0" w:type="dxa"/>
        </w:tblCellMar>
      </w:tblPr>
      <w:tblGrid>
        <w:gridCol w:w="3031"/>
        <w:gridCol w:w="346"/>
        <w:gridCol w:w="211"/>
        <w:gridCol w:w="61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924685" cy="175260"/>
                      <wp:effectExtent l="0" t="0" r="0" b="0"/>
                      <wp:wrapNone/>
                      <wp:docPr id="211" name="Frame211"/>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91160" cy="175260"/>
                      <wp:effectExtent l="0" t="0" r="0" b="0"/>
                      <wp:wrapNone/>
                      <wp:docPr id="214" name="Frame21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0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(in thousands)</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616" w:type="dxa"/>
            <w:tcBorders/>
            <w:vAlign w:val="center"/>
          </w:tcPr>
          <w:p>
            <w:pPr>
              <w:pStyle w:val="TableContents"/>
              <w:bidi w:val="0"/>
              <w:spacing w:lineRule="auto" w:line="285" w:before="0" w:after="0"/>
              <w:ind w:left="0" w:right="0" w:hanging="0"/>
              <w:jc w:val="center"/>
              <w:rPr/>
            </w:pPr>
            <w:r>
              <w:rPr/>
              <w:t>​</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30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566</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1,052</w:t>
            </w:r>
          </w:p>
        </w:tc>
      </w:tr>
      <w:tr>
        <w:trPr/>
        <w:tc>
          <w:tcPr>
            <w:tcW w:w="30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937</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15. Commitments and Contingencies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Pursuant to the Company’s license agreements with each of Vernalis, Scripps and Monash, it has obligations to make future milestone and royalty payments to the respective parties. However, because these amounts are contingent,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they have not been included on the Company’s balance sheet. For further discussion of the Vernalis, Scripps and Monash licensing agreements, see Note 7, “License and Collaboration Agreements.”</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Indemnifications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law. There have been no claims to date and the Company has a directors and officers insurance policy that may enable it to recover a portion of any amounts paid for future claims.</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is not a party to any material legal proceedings.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16. Related Party Transactions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part of the January 2026 follow-on public offering, 30,000 shares of common stock, at the public offering price of $22.15 per share, were sold to Puissance Capital Management, a related party. Ted Wang, Ph.D., a Co-Founder, General Manager and Director of Angel Pharmaceuticals, of which the Company holds a 49.7% ownership interest, is the founder of Puissance Capital Management.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July 2021, Linda S. Grais, M.D., J.D., a member of the Company’s Board of Directors, was appointed as a non-executive member of the Board of Directors of ICON plc (“ICON”), effective upon completion of ICON’s acquisition of PRA Health Sciences, Inc. ICON is a clinical research organization and provides services to support the Company’s clinical trials. During the three months ended March 31, 2026 and 2025, the Company recorded approximately $123,000 and $94,000, respectively, in clinical trial expenses under its agreements with ICON.</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bookmarkStart w:id="817" w:name="Item2ManagementsDiscussionandAnalysisofF"/>
      <w:bookmarkStart w:id="818" w:name="_2ffb478b_ad68_4643_b3ac_199abc38edd9"/>
      <w:bookmarkEnd w:id="817"/>
      <w:bookmarkEnd w:id="818"/>
      <w:r>
        <w:rPr>
          <w:rFonts w:ascii="Times New Roman;Times;serif" w:hAnsi="Times New Roman;Times;serif"/>
          <w:b/>
          <w:sz w:val="20"/>
        </w:rPr>
        <w:t>Item 2.    Management’s Discussion and Analysis of Financial Condition and Results of Operations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unaudited condensed consolidated financial statements and related notes thereto included in Part I, Item 1 of this Quarterly Report on Form 10-Q and with our audited condensed consolidated financial statements and notes for the year ended December 31, 2025, included in our Annual Report on Form 10-K filed with the U.S. Securities and Exchange Commission (“SEC”) on March 12, 2026.</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Except as may be required by law, we assume no obligation to update these forward-looking statements or the reasons that results could differ from these forward-looking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a clinical stage biopharmaceutical company developing product candidates that precisely target proteins that are critical to immune cell maturation and function. We believe our proprietary product candidates have broad potential to address immune mediated diseases, inflammatory diseases and cancers.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lead product candidate, soquelitinib (formerly CPI-818), is designed to bind specifically to a protein, interleukin 2 inducible T cell kinase (“ITK”), involved in T cell activation, T cell receptor signaling and T cell differentiation and function. Based on the proposed mechanism of action, we believe soquelitinib has the potential to be utilized to inhibit the production of a number of inflammatory cytokines involved in diseases such as atopic dermatitis, hidradenitis suppurativa, asthma, psoriasis and fibrotic diseases. In preclinical studies, Soquelitinib has affected T cell differentiation leading to enhanced function of T cells involved in tumor cell eradication.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the immune cells targeted by our product candidates play a role in many diseases, our strategy is to leverage our research and development capabilities by evaluating our product candidates in clinical trials where there is an understanding of the role of specific T cells in the target indication and where we believe such product candidates have the broadest potential. We believe this strategy has enabled us to move rapidly from preclinical to clinical trials in diverse disease areas, each with large unmet needs. We are enrolling patients in a potentially registrational Phase 3 clinical trial of soquelitinib for relapsed peripheral T cell lymphomas. Soquelitinib is also being evaluated in a randomized, placebo-controlled Phase 2 trial in patients with atopic dermatitis. We have two additional product candidates which are in clinical development for the treatment of various solid tumors, also based on modulation of immune function.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Product Candidate Pipeline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Our product candidate pipeline and anticipated milestones include the following:</w:t>
      </w:r>
    </w:p>
    <w:p>
      <w:pPr>
        <w:pStyle w:val="TextBody"/>
        <w:bidi w:val="0"/>
        <w:spacing w:lineRule="auto" w:line="285" w:before="0" w:after="0"/>
        <w:ind w:left="0" w:right="0" w:hanging="0"/>
        <w:jc w:val="left"/>
        <w:rPr/>
      </w:pPr>
      <w:r>
        <w:rPr/>
        <w:drawing>
          <wp:inline distT="0" distB="0" distL="0" distR="0">
            <wp:extent cx="6163310" cy="2221865"/>
            <wp:effectExtent l="0" t="0" r="0" b="0"/>
            <wp:docPr id="2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 descr=""/>
                    <pic:cNvPicPr>
                      <a:picLocks noChangeAspect="1" noChangeArrowheads="1"/>
                    </pic:cNvPicPr>
                  </pic:nvPicPr>
                  <pic:blipFill>
                    <a:blip r:embed="rId2"/>
                    <a:stretch>
                      <a:fillRect/>
                    </a:stretch>
                  </pic:blipFill>
                  <pic:spPr bwMode="auto">
                    <a:xfrm>
                      <a:off x="0" y="0"/>
                      <a:ext cx="6163310" cy="2221865"/>
                    </a:xfrm>
                    <a:prstGeom prst="rect">
                      <a:avLst/>
                    </a:prstGeom>
                  </pic:spPr>
                </pic:pic>
              </a:graphicData>
            </a:graphic>
          </wp:inline>
        </w:drawing>
      </w:r>
    </w:p>
    <w:p>
      <w:pPr>
        <w:pStyle w:val="TextBody"/>
        <w:bidi w:val="0"/>
        <w:spacing w:lineRule="auto" w:line="285" w:before="0" w:after="0"/>
        <w:ind w:left="0" w:right="0" w:hanging="0"/>
        <w:jc w:val="center"/>
        <w:rPr/>
      </w:pPr>
      <w:r>
        <w:rPr/>
        <w:t>​</w:t>
      </w:r>
    </w:p>
    <w:tbl>
      <w:tblPr>
        <w:tblW w:w="7746" w:type="dxa"/>
        <w:jc w:val="left"/>
        <w:tblInd w:w="0" w:type="dxa"/>
        <w:tblLayout w:type="fixed"/>
        <w:tblCellMar>
          <w:top w:w="28" w:type="dxa"/>
          <w:left w:w="28" w:type="dxa"/>
          <w:bottom w:w="28" w:type="dxa"/>
          <w:right w:w="28" w:type="dxa"/>
        </w:tblCellMar>
      </w:tblPr>
      <w:tblGrid>
        <w:gridCol w:w="124"/>
        <w:gridCol w:w="271"/>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 Phase 1b/2 clinical trial in atopic dermatitis is being conducted by Angel Pharmaceuticals, the Company’s partner in China.</w:t>
            </w:r>
          </w:p>
        </w:tc>
      </w:tr>
    </w:tbl>
    <w:tbl>
      <w:tblPr>
        <w:tblW w:w="10205" w:type="dxa"/>
        <w:jc w:val="left"/>
        <w:tblInd w:w="0" w:type="dxa"/>
        <w:tblLayout w:type="fixed"/>
        <w:tblCellMar>
          <w:top w:w="28" w:type="dxa"/>
          <w:left w:w="28" w:type="dxa"/>
          <w:bottom w:w="28" w:type="dxa"/>
          <w:right w:w="28" w:type="dxa"/>
        </w:tblCellMar>
      </w:tblPr>
      <w:tblGrid>
        <w:gridCol w:w="124"/>
        <w:gridCol w:w="266"/>
        <w:gridCol w:w="9815"/>
      </w:tblGrid>
      <w:tr>
        <w:trPr/>
        <w:tc>
          <w:tcPr>
            <w:tcW w:w="124" w:type="dxa"/>
            <w:tcBorders/>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8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The Company did not conduct Phase 1 studies for these specific indications, but is planning to initiate Phase 2 studies for these indications based on the Phase 1 Atopic Dermatitis study.</w:t>
            </w:r>
          </w:p>
        </w:tc>
      </w:tr>
    </w:tbl>
    <w:p>
      <w:pPr>
        <w:pStyle w:val="TextBody"/>
        <w:bidi w:val="0"/>
        <w:spacing w:lineRule="auto" w:line="285" w:before="0" w:after="0"/>
        <w:ind w:left="144"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i/>
          <w:sz w:val="20"/>
        </w:rPr>
        <w:t>Soquelitinib (CPI-818), ITK Inhibitor.</w:t>
      </w:r>
      <w:r>
        <w:rPr>
          <w:rFonts w:ascii="Times New Roman;Times;serif" w:hAnsi="Times New Roman;Times;serif"/>
          <w:sz w:val="20"/>
        </w:rPr>
        <w:t xml:space="preserve"> Soquelitinib is an investigational selective, orally bioavailable, covalent inhibitor of ITK. ITK, an enzyme that functions in T cell signaling and differentiation, is expressed predominantly in T cells, which are lymphocytes that play a vital role in immune responses. T cell lymphomas are malignancies of T cells that proliferate and spread throughout the body. These lymphomas often have uncontrolled tonic signaling through the T cell receptor pathway, which involves ITK. Inhibition of ITK with soquelitinib could result in blockade of this signaling pathway and control the growth of the malignancy. In addition, one of the key survival mechanisms of both lymphomas and solid tumors is believed to be the reprogramming of normal T cells to create an environment in the tissues that inhibits an anti-tumor immune response and favors tumor growth. We believe highly selective inhibitors of this enzyme will facilitate induction of normal T cell anti-tumor immunity and may be useful in the treatment of solid tumors as well as lymphomas. A normal functioning immune system maintains balance between inflammation, needed to fight infection or eliminate noxious agents, and suppression of inflammation necessary when the inflammatory signals are eliminated. This balance is restored through the action of T regulatory cells, which dampen inflammatory responses. ITK plays a vital role in the function of these regulatory T cells where it acts to modulate immune responses.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ITK genetic knockout mice, which completely lack expression of ITK, T cells exhibit defects in T helper cell differentiation and cytokine secretion but retain the ability to differentiate into cytotoxic T cells that secrete IL-2 and interferon gamma (“IFNg”), which are the cells responsible for tumor rejection. We believe that skewing T helper cell differentiation to favor cytotoxic T cells, known as Th1 skewing, may be beneficial in treating T cell lymphomas and many other types of cancer. Mice with genetic knock-out of ITK also demonstrate a reduction in Th2 and Th17 cells, which produce the cytokines that are often responsible for autoimmunity and allergy such as interleukin (Il) Il-4, Il-5, Il-13, Il-17 and many others.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designed and developed soquelitinib to covalently target the cysteine amino acid residue at position 442 in the ITK protein. We believe this irreversible targeting of ITK has the potential to provide a potent, selective and prolonged duration of activity without the need for high systemic exposures and thereby improve the therapeutic window. This approach was previously used by our cofounders to generate ibrutinib. Selective inhibition of ITK can block the production and function of Th2 and Th17 helper T cells, potentially leading to a biasing toward the differentiation of naïve T cells into Th1 helper T cells. Th1 cells lead to the generation of killer T cells that can eliminate tumor cells or viral infected cells. Th1 cells produce interferon gamma and tumor necrosis factor that are cytokines known to destroy cancer cells. We believe, based on our preclinical and Phase 1/1b data from our T cell lymphoma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clinical trial, that soquelitinib has the potential to reprogram normal immune responses that also could be beneficial for the treatment of certain autoimmune, inflammatory and allergic diseases. Overactive Th2 and Th17 cells are known to play a role in autoimmune, inflammatory and allergic diseases, which can potentially be ameliorated by selective ITK inhibition by blocking Th2 and Th17 function and their production of inflammatory cytokines such as IL4, IL5, IL13, IL17 and others.</w:t>
      </w:r>
    </w:p>
    <w:p>
      <w:pPr>
        <w:pStyle w:val="TextBody"/>
        <w:bidi w:val="0"/>
        <w:spacing w:lineRule="auto" w:line="285" w:before="160" w:after="240"/>
        <w:ind w:left="0" w:right="0" w:firstLine="720"/>
        <w:jc w:val="left"/>
        <w:rPr>
          <w:rFonts w:ascii="Times New Roman;Times;serif" w:hAnsi="Times New Roman;Times;serif"/>
          <w:sz w:val="20"/>
        </w:rPr>
      </w:pPr>
      <w:r>
        <w:rPr>
          <w:rFonts w:ascii="Times New Roman;Times;serif" w:hAnsi="Times New Roman;Times;serif"/>
          <w:sz w:val="20"/>
        </w:rPr>
        <w:t>In December 2024, we and our academic collaborators published results describing the chemistry, enzymology and preclinical anti-tumor activity of soquelitinib in the journal npj Drug Discovery. Key results from the publication include that soquelitinib:</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Selectively bound to and inhibited ITK function while sparing other closely related kinases, including resting lymphocyte kinase.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Inhibited Th2 T cell function and the production of various Th2 cytokines leading to Th1 skewing and production of interferon gamma and tumor necrosis factor, which are important cytokines in tumor rejection. Th2 cytokines have been previously implicated in promoting tumor growth and are also involved in autoimmune and allergic diseases. </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Activated cytotoxic killer cells and increases infiltration of these cells into tumors.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and reversed T cell exhaustion resulting in a more potent and prolonged immune response. T cell exhaustion is often a major reason for resistance to immune checkpoint therapy.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Led to in vivo anti-tumor activity in several mouse tumor models, including colon, renal, melanoma, B cell and T cell tumor.</w:t>
            </w:r>
          </w:p>
        </w:tc>
      </w:tr>
    </w:tbl>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Soquelitinib for treatment of T cell lymphomas.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Soquelitinib is currently being studied both in cancer and in immune mediated diseases. A Phase 1/1b clinical trial was conducted in patients with relapsed T cell lymphomas that was designed to select the optimal dose of soquelitinib and evaluate its safety, pharmacokinetics (“PK”), target occupancy, immunologic effects, biomarkers and efficacy. The study is now complete, however, some of the patients remain on therapy and are continuing to receive follow-up monitoring. The trial enrolled 75 patients (27 in the dose escalation portion and 48 in dose expansion portion) with various T cell lymphomas, including peripheral T cell lymphoma (“PTCL”), T follicular helper cell lymphoma, natural killer cell T cell lymphoma, cutaneous T cell lymphoma, anaplastic large cell lymphoma and adult T cell lymphoma/leukemia. The median number of prior therapies was three (range 1-18), with only 31% achieving an objective response to their most recent prior therapy. In the dose escalation portion, patients received a twice-daily dose of soquelitinib of 100 mg, 200 mg, 400 mg or 600 mg, and the 200 mg twice-daily dose (“200 mg BID”) was selected for the dose expansion portion based on biomarker studies indicating that doses of 200 mg or higher achieved complete occupancy of the ITK target with the drug.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Final data from the Phase 1/1b clinical trial were presented at the American Society of Hematology Annual Meeting (“ASH”) in December 2025. Key highlights from the data supporting the ongoing registration Phase 3 trial in relapsed/refractory PTCL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dose limiting toxicities or significant adverse events were observed in any patients in all dose cohorts up to 600 mg twice-daily, including no myelosuppression or immunosuppression;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Objective and durable tumor responses were seen in the 200 mg twice-daily cohort (N=36) with 6 patients experiencing complete responses;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200 mg twice-daily cohort, it was determined that patients with between ≥1 and ≤3 prior therapies and an adequate peripheral blood lymphocyte count (N=24) were most likely to be responders to therapy.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514" w:type="dxa"/>
        <w:jc w:val="left"/>
        <w:tblInd w:w="0" w:type="dxa"/>
        <w:tblLayout w:type="fixed"/>
        <w:tblCellMar>
          <w:top w:w="28" w:type="dxa"/>
          <w:left w:w="28" w:type="dxa"/>
          <w:bottom w:w="28" w:type="dxa"/>
          <w:right w:w="28" w:type="dxa"/>
        </w:tblCellMar>
      </w:tblPr>
      <w:tblGrid>
        <w:gridCol w:w="124"/>
        <w:gridCol w:w="109"/>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patient population:</w:t>
            </w:r>
          </w:p>
        </w:tc>
      </w:tr>
    </w:tbl>
    <w:tbl>
      <w:tblPr>
        <w:tblW w:w="9021" w:type="dxa"/>
        <w:jc w:val="left"/>
        <w:tblInd w:w="0" w:type="dxa"/>
        <w:tblLayout w:type="fixed"/>
        <w:tblCellMar>
          <w:top w:w="28" w:type="dxa"/>
          <w:left w:w="28" w:type="dxa"/>
          <w:bottom w:w="28" w:type="dxa"/>
          <w:right w:w="28" w:type="dxa"/>
        </w:tblCellMar>
      </w:tblPr>
      <w:tblGrid>
        <w:gridCol w:w="124"/>
        <w:gridCol w:w="22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Objective responses were seen in 9 of 24 patients including 6 complete responses and 3 partial responses;</w:t>
            </w:r>
          </w:p>
        </w:tc>
      </w:tr>
    </w:tbl>
    <w:tbl>
      <w:tblPr>
        <w:tblW w:w="8481" w:type="dxa"/>
        <w:jc w:val="left"/>
        <w:tblInd w:w="0" w:type="dxa"/>
        <w:tblLayout w:type="fixed"/>
        <w:tblCellMar>
          <w:top w:w="28" w:type="dxa"/>
          <w:left w:w="28" w:type="dxa"/>
          <w:bottom w:w="28" w:type="dxa"/>
          <w:right w:w="28" w:type="dxa"/>
        </w:tblCellMar>
      </w:tblPr>
      <w:tblGrid>
        <w:gridCol w:w="124"/>
        <w:gridCol w:w="22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Median progression free survival (“PFS”) was 6.2 months, including an 18-month PFS of 30%; and</w:t>
            </w:r>
          </w:p>
        </w:tc>
      </w:tr>
    </w:tbl>
    <w:tbl>
      <w:tblPr>
        <w:tblW w:w="7206" w:type="dxa"/>
        <w:jc w:val="left"/>
        <w:tblInd w:w="0" w:type="dxa"/>
        <w:tblLayout w:type="fixed"/>
        <w:tblCellMar>
          <w:top w:w="28" w:type="dxa"/>
          <w:left w:w="28" w:type="dxa"/>
          <w:bottom w:w="28" w:type="dxa"/>
          <w:right w:w="28" w:type="dxa"/>
        </w:tblCellMar>
      </w:tblPr>
      <w:tblGrid>
        <w:gridCol w:w="124"/>
        <w:gridCol w:w="22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Median overall survival (“OS”) was 28.1 months, including a 24-month OS of 67%</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Key highlights from the data supporting soquelitinib’s proposed mechanism of action (Th1 skewing and blocking Th2 and Th17 differentiation) and development in immune and inflammatory diseases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vitro studies demonstrated that at appropriate doses, soquelitinib produced Th1 skewing, which is an immunologic property resulting from the blockade of Th2 differentiation and a shift to Th1;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Biomarker studies evaluating blood samples and tumor biopsies showed an increase in Th1 in blood and tumor samples and a reduction in serum IL-5, consistent with inhibiting Th2 and Th17 cells;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six patients, paired tumor biopsies were compared at baseline and day 8 and showed an increase in intratumor Th1 cells with treatment analyzed using RNA sequencing.</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August 2023, we completed an End-of-Phase/Pre-Phase 3 meeting with the Food and Drug Administration (“FDA”) regarding our plans to conduct a potentially registrational Phase 3 clinical trial of soquelitinib in relapsed PTCL. The FDA provided feedback on our proposed registration trial, including the proposed endpoints. We initiated this clinical trial in the third quarter of 2024. The clinical trial is designed to enroll a total of 150 patients with relapsed PTCL that have received ≥ 1 prior therapy and≤3 prior therapies. Patients are being randomized 1:1 to soquelitinib 200 mg two-times a day or one of the standard of care chemotherapies. The standard of care agent is selected based on the physician’s choice of either belinostat or pralatrexate. The primary endpoint is progression-free survival. Secondary endpoints include objective response rate, overall survival and duration of response. Leading academic and private medical centers with significant experience in lymphoma research are participating in the trial, including investigators who have conducted other Phase 3 clinical trials in T cell lymphoma and authored many peer-reviewed articles on lymphomas. There are currently no FDA fully approved agents for the treatment of relapsed PTCL.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FDA has granted Fast Track designation to soquelitinib for the treatment of adult patients with relapsed or refractory PTCL after at least two lines of systemic therapy. In addition to Fast Track designation, soquelitinib has also been granted FDA orphan drug designation for the treatment of T cell lymphoma.</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Soquelitinib for treatment of atopic dermatitis.</w:t>
      </w:r>
    </w:p>
    <w:p>
      <w:pPr>
        <w:pStyle w:val="TextBody"/>
        <w:bidi w:val="0"/>
        <w:spacing w:lineRule="auto" w:line="285" w:before="160" w:after="240"/>
        <w:ind w:left="0" w:right="0" w:firstLine="720"/>
        <w:jc w:val="left"/>
        <w:rPr>
          <w:rFonts w:ascii="Times New Roman;Times;serif" w:hAnsi="Times New Roman;Times;serif"/>
          <w:sz w:val="20"/>
        </w:rPr>
      </w:pPr>
      <w:r>
        <w:rPr>
          <w:rFonts w:ascii="Times New Roman;Times;serif" w:hAnsi="Times New Roman;Times;serif"/>
          <w:sz w:val="20"/>
        </w:rPr>
        <w:t>In November 2023, we announced the posting of preclinical data on soquelitinib in bioRxiv that demonstrated that ITK’s selective inhibition produced therapeutic benefits in several autoimmune and allergy preclinical models, including psoriasis, asthma, pulmonary fibrosis, scleroderma and graft versus host disease. The mechanism of action involves the inhibition of Th2 and Th17 cells and their subsequent production of cytokines such as IL-4, IL-5, IL-17 and other cytokines involved in these diseases. The novel mechanism is a result of ITK inhibition and blockade of formation of Th2 and Th17 cells.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April 2024, we initiated a randomized, double-blind, placebo-controlled Phase 1 clinical trial with soquelitinib in patients with moderate to severe atopic dermatitis that previously failed one prior topical or systemic therapy. The clinical trial was planned to enroll 64 patients into one of four dosing cohorts in a 3:1 ratio (12 active and 4 placebo) to receive either soquelitinib or placebo. The cohorts were designed to sequentially enroll and to examine 100 mg oral twice per day, 200 mg oral once per day, 200 mg oral twice per day and 400 mg oral once per day. Patients would be treated for 28 days and are then followed for an additional 30 days with no therapy. The primary endpoints included safety and tolerability, and efficacy, measured by improvement in Eczema Area and Severity Index (“EASI”)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score, Investigator Global Assessment (“IGA”), reduction in itch and various cytokine biomarkers. EASI scores are also evaluated by the percent of patients that achieve a specified percent reduction in EASI score – EASI 50 for patients that achieved a 50% reduction; EASI 75 for a 75% reduction; and EASI 90 for a 90% reduction.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May 6, 2025, enrollment into cohorts 1, 2 and 3 had been completed and we reported interim data for a total of 48 patients. These data covered 32 patients receiving soquelitinib and 12 receiving placebo with 28-day follow-up, and four additional patients receiving soquelitinib with 15-day follow-up from cohort 3. These four patients had not yet completed the 28-day treatment course. The percent reduction in mean EASI scores at 28 days for the combined cohort 1 and 2 group was 54.6% for patients receiving soquelitinib and 30.6% for patients receiving placebo. In cohort 3, the 200 mg BID cohort, the percent reduction in mean EASI score at 28 days was 71.1% for patients receiving soquelitinib and 42.1% for patients receiving placebo.</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January 20, 2026, we announced positive results from cohort 4 of our randomized, blinded, placebo-controlled Phase 1 clinical trial evaluating soquelitinib in patients with moderate to severe atopic dermatitis. Based on the encouraging results from cohorts 1-3, cohort 4 was prospectively redesigned to support and potentially extend the clinical results obtained in the initial cohorts. Cohort 4 was expanded to enroll 24 patients randomized 1:1 to receive soquelitinib 200 mg BID (the same dose as cohort 3) or placebo, and the treatment period was extended to 56 days from the 28-day treatment period used for cohorts 1-3.</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cohort 4 data demonstrated favorable safety and efficacy results consistent with results from cohorts 1-3, including a deepening of responses in cohort 4 over the 8-week treatment period compared to the 4-week treatment period. The results also showed clinical activity in patients who had received prior systemic therapies, including patients resistant to therapies like dupilumab and JAK inhibitors. We believe the data to-date also support the novel proposed mechanism of action with ITK inhibition, which is designed to act upstream and regulate multiple T cell functional pathways. We believe the immune rebalancing shown thus far by soquelitinib shows its potential in a wide range of inflammatory and immune diseases. Based on these positive results, we have initiated a Phase 2 trial evaluating soquelitinib in patients with moderate to severe atopic dermatitis that have failed at least one prior topical or systemic therapy.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January 15, 2026, enrollment in cohort 4 was completed and all soquelitinib treated patients (n=12) had completed the 56-day treatment course. Of the 12 enrolled placebo patients, 10 were evaluable at day 56, as two patients were non-compliant and missed the day 56 visit; these two patients completed additional follow up at later time points. Patients in cohort 4 had similar baseline characteristics compared to patients in cohort 3, with patients in these cohorts having more advanced disease with a higher mean baseline EASI score compared to patients in cohorts 1 and 2. The mean baseline EASI in cohort 4 was 25.7 for the patients treated with soquelitinib and 21.9 for patients that received placebo. Across all four cohorts (n=72), 35% of patients had received prior systemic therapies (n=25), including 50% of patients (n=12) in cohort 4. Overall, all four cohorts showed meaningful responses in the soquelitinib treatment groups compared to placebo for clinically significant endpoints of EASI 75 and IGA 0 or 1.</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day 56, the mean percent reduction in EASI for patients receiving soquelitinib in cohort 4 (n=12) was 72%, compared to 40% for patients receiving placebo (n=10). The kinetics of response demonstrated continuous improvement from day 28 to day 56 with widening separation of the response curve compared to the placebo. Two placebo patients experienced disease flares requiring therapy during the 56-day treatment period compared to none in the soquelitinib group.</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Figure 1 below summarizes the efficacy results for cohorts 1 through 4 evaluating EASI 75, EASI 90 and IGA 0 or 1. Cohort 3 and 4 results appear similar, with cohort 4 exhibiting higher frequency of EASI 75 and 90. EASI 75, EASI 90 and IGA 0 or 1 for cohort 4 was achieved in 75%, 25% and 33% of patients receiving soquelitinib, respectively, compared to 20%, 0% and 0%, respectively, for the placebo group.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Figure 1: Percent Patients Achieving Endpoints EASI 75, EASI 90 and IGA 0 or 1 at Day 28 (cohorts 1-3) or at Day 56 (cohort 4) of Treatment.</w:t>
      </w:r>
    </w:p>
    <w:p>
      <w:pPr>
        <w:pStyle w:val="TextBody"/>
        <w:bidi w:val="0"/>
        <w:spacing w:lineRule="auto" w:line="285" w:before="0" w:after="0"/>
        <w:ind w:left="0" w:right="0" w:hanging="0"/>
        <w:jc w:val="left"/>
        <w:rPr/>
      </w:pPr>
      <w:r>
        <w:rPr/>
        <w:drawing>
          <wp:inline distT="0" distB="0" distL="0" distR="0">
            <wp:extent cx="5943600" cy="2717800"/>
            <wp:effectExtent l="0" t="0" r="0" b="0"/>
            <wp:docPr id="2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 descr=""/>
                    <pic:cNvPicPr>
                      <a:picLocks noChangeAspect="1" noChangeArrowheads="1"/>
                    </pic:cNvPicPr>
                  </pic:nvPicPr>
                  <pic:blipFill>
                    <a:blip r:embed="rId3"/>
                    <a:stretch>
                      <a:fillRect/>
                    </a:stretch>
                  </pic:blipFill>
                  <pic:spPr bwMode="auto">
                    <a:xfrm>
                      <a:off x="0" y="0"/>
                      <a:ext cx="5943600" cy="27178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Figure 2 below shows the kinetics of response for cohort 4 patients receiving soquelitinib and placebo. Separation of the curves was seen at the first visit on day 15 and continuously increased out to day 56. At day 56, the difference in the curves is statistically significant, p=0.035. The disease control continued in the 30-day post treatment follow up period.</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Figure 2: Percent Reduction in Mean EASI for Cohort 4.</w:t>
      </w:r>
      <w:r>
        <w:rPr>
          <w:rFonts w:ascii="Times New Roman;Times;serif" w:hAnsi="Times New Roman;Times;serif"/>
          <w:sz w:val="20"/>
        </w:rPr>
        <w:t xml:space="preserve"> </w:t>
      </w:r>
      <w:r>
        <w:rPr>
          <w:rFonts w:ascii="Times New Roman;Times;serif" w:hAnsi="Times New Roman;Times;serif"/>
          <w:i/>
          <w:sz w:val="20"/>
        </w:rPr>
        <w:t>Mean percent change in EASI over time is shown. Treatment beginning is designated “Baseline” and days post-baseline are shown. Screening to baseline data are shown and demonstrate relative disease stability. The study blinding remained in effect for the entire 86-day period. Numbers at the top of the graphs indicate numbers of patients evaluated at the various time points. As of January 15, 2026, not all patients had completed the 30-day post treatment follow up.</w:t>
      </w:r>
    </w:p>
    <w:p>
      <w:pPr>
        <w:pStyle w:val="TextBody"/>
        <w:bidi w:val="0"/>
        <w:jc w:val="left"/>
        <w:rPr/>
      </w:pPr>
      <w:r>
        <w:rPr/>
        <w:drawing>
          <wp:inline distT="0" distB="0" distL="0" distR="0">
            <wp:extent cx="5943600" cy="3300095"/>
            <wp:effectExtent l="0" t="0" r="0" b="0"/>
            <wp:docPr id="2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3" descr=""/>
                    <pic:cNvPicPr>
                      <a:picLocks noChangeAspect="1" noChangeArrowheads="1"/>
                    </pic:cNvPicPr>
                  </pic:nvPicPr>
                  <pic:blipFill>
                    <a:blip r:embed="rId4"/>
                    <a:stretch>
                      <a:fillRect/>
                    </a:stretch>
                  </pic:blipFill>
                  <pic:spPr bwMode="auto">
                    <a:xfrm>
                      <a:off x="0" y="0"/>
                      <a:ext cx="5943600" cy="3300095"/>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Figure 3A and 3B below show the response curves for soquelitinib and placebo patients across all patients in cohorts 1-4 and in patients in cohorts 3-4 only, also segmented into sub-groups by those who had or had not received prior systemic therapies. Across all four cohorts, 25 patients (35% of all patients) received prior systemic therapies with dupilumab being the most common prior systemic therapy (n=11). Other prior systemic therapies included JAK inhibitors, corticosteroids and investigational agents. The response curves are nearly identical for soquelitinib treated patients, regardless of their history of prior systemic therapy. Placebo patients who had prior systemic therapy had a lesser reduction in EASI compared to placebo patients who had not received prior systemic therapy. These Phase 1 results show separation of the curves for patients receiving soquelitinib compared to placebo and demonstrate that soquelitinib was similarly active in both systemic treatment naïve or experienced patients. Also, prior systemic therapy experienced patients appeared to have worse disease. The two placebo patients who achieved EASI 75 had not received prior systemic therapy. None of the seven placebo patients who had received prior systemic therapy achieved EASI 75 or EASI 50; whereas, three of the five soquelitinib treated patients who received prior systemic therapy achieved EASI 75.</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Figure 3A, 3B: Percent Reduction in Mean EASI for Cohorts 1-4– Breakout of Patients with or without Prior Systemic Therapy</w:t>
      </w:r>
      <w:r>
        <w:rPr>
          <w:rFonts w:ascii="Times New Roman;Times;serif" w:hAnsi="Times New Roman;Times;serif"/>
          <w:b/>
          <w:i/>
          <w:sz w:val="20"/>
        </w:rPr>
        <w:t>.</w:t>
      </w:r>
      <w:r>
        <w:rPr>
          <w:rFonts w:ascii="Times New Roman;Times;serif" w:hAnsi="Times New Roman;Times;serif"/>
          <w:sz w:val="20"/>
        </w:rPr>
        <w:t xml:space="preserve"> </w:t>
      </w:r>
      <w:r>
        <w:rPr>
          <w:rFonts w:ascii="Times New Roman;Times;serif" w:hAnsi="Times New Roman;Times;serif"/>
          <w:i/>
          <w:sz w:val="20"/>
        </w:rPr>
        <w:t xml:space="preserve">In Figure 3A, mean percent change in EASI over time is shown for all patients in Cohort 1-4 (left) and for those who received prior therapy (right). In Figure 3B, similar analysis is shown for patients in cohort 3 and 4; these patients received the 200 mg twice daily dose. In all charts, treatment beginning is designated “Baseline” and weeks post-baseline are shown. Placebo patients include cohorts 1-4. Soquelitinib cohorts 3 and 4 are combined (200 mg twice daily doses used in both of these cohorts). </w:t>
      </w:r>
    </w:p>
    <w:p>
      <w:pPr>
        <w:pStyle w:val="TextBody"/>
        <w:bidi w:val="0"/>
        <w:spacing w:before="0" w:after="0"/>
        <w:jc w:val="left"/>
        <w:rPr/>
      </w:pPr>
      <w:r>
        <w:rPr/>
        <w:drawing>
          <wp:inline distT="0" distB="0" distL="0" distR="0">
            <wp:extent cx="5943600" cy="2672080"/>
            <wp:effectExtent l="0" t="0" r="0" b="0"/>
            <wp:docPr id="2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4" descr=""/>
                    <pic:cNvPicPr>
                      <a:picLocks noChangeAspect="1" noChangeArrowheads="1"/>
                    </pic:cNvPicPr>
                  </pic:nvPicPr>
                  <pic:blipFill>
                    <a:blip r:embed="rId5"/>
                    <a:stretch>
                      <a:fillRect/>
                    </a:stretch>
                  </pic:blipFill>
                  <pic:spPr bwMode="auto">
                    <a:xfrm>
                      <a:off x="0" y="0"/>
                      <a:ext cx="5943600" cy="2672080"/>
                    </a:xfrm>
                    <a:prstGeom prst="rect">
                      <a:avLst/>
                    </a:prstGeom>
                  </pic:spPr>
                </pic:pic>
              </a:graphicData>
            </a:graphic>
          </wp:inline>
        </w:drawing>
      </w:r>
    </w:p>
    <w:p>
      <w:pPr>
        <w:pStyle w:val="TextBody"/>
        <w:bidi w:val="0"/>
        <w:jc w:val="left"/>
        <w:rPr/>
      </w:pPr>
      <w:r>
        <w:rPr/>
        <w:drawing>
          <wp:inline distT="0" distB="0" distL="0" distR="0">
            <wp:extent cx="5943600" cy="2684780"/>
            <wp:effectExtent l="0" t="0" r="0" b="0"/>
            <wp:docPr id="2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5" descr=""/>
                    <pic:cNvPicPr>
                      <a:picLocks noChangeAspect="1" noChangeArrowheads="1"/>
                    </pic:cNvPicPr>
                  </pic:nvPicPr>
                  <pic:blipFill>
                    <a:blip r:embed="rId6"/>
                    <a:stretch>
                      <a:fillRect/>
                    </a:stretch>
                  </pic:blipFill>
                  <pic:spPr bwMode="auto">
                    <a:xfrm>
                      <a:off x="0" y="0"/>
                      <a:ext cx="5943600" cy="268478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Figure 4 below shows longer follow up from cohort 3 patients, who also received the 200 mg twice-daily dose. The data show maintenance or improvement in EASI out to 3 months beyond the treatment period and an increase of circulating Treg cells.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pPr>
      <w:r>
        <w:rPr/>
        <w:drawing>
          <wp:inline distT="0" distB="0" distL="0" distR="0">
            <wp:extent cx="5943600" cy="3268980"/>
            <wp:effectExtent l="0" t="0" r="0" b="0"/>
            <wp:docPr id="2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6" descr=""/>
                    <pic:cNvPicPr>
                      <a:picLocks noChangeAspect="1" noChangeArrowheads="1"/>
                    </pic:cNvPicPr>
                  </pic:nvPicPr>
                  <pic:blipFill>
                    <a:blip r:embed="rId7"/>
                    <a:stretch>
                      <a:fillRect/>
                    </a:stretch>
                  </pic:blipFill>
                  <pic:spPr bwMode="auto">
                    <a:xfrm>
                      <a:off x="0" y="0"/>
                      <a:ext cx="5943600" cy="3268980"/>
                    </a:xfrm>
                    <a:prstGeom prst="rect">
                      <a:avLst/>
                    </a:prstGeom>
                  </pic:spPr>
                </pic:pic>
              </a:graphicData>
            </a:graphic>
          </wp:inline>
        </w:drawing>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Figure 4:</w:t>
      </w:r>
      <w:r>
        <w:rPr>
          <w:rFonts w:ascii="Times New Roman;Times;serif" w:hAnsi="Times New Roman;Times;serif"/>
          <w:sz w:val="20"/>
        </w:rPr>
        <w:t xml:space="preserve"> </w:t>
      </w:r>
      <w:r>
        <w:rPr>
          <w:rFonts w:ascii="Times New Roman;Times;serif" w:hAnsi="Times New Roman;Times;serif"/>
          <w:b/>
          <w:sz w:val="20"/>
        </w:rPr>
        <w:t>Percent Reduction in Mean EASI for Cohort 3 and percent change in Treg cells for cohorts 1-3.</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Reduction in serum IL-4 cytokine was observed in cohorts 3 and 4, both during the treatment period and in the post treatment period, including a dose dependent response with cohort 4 patients showing the largest reductions in IL-4 out to day 86. Biomarker data from cohorts 1 through 3 shows a reduction in serum IL-5 cytokine for cohorts 1 through 3 compared to placebo, including a dose dependent response with cohort 3 patients showing the largest reductions in IL-5 compared to placebo. The reduction in serum IL-5 occurred as early as day 8 of therapy. Serum IL-17 and TARC levels also were lower. Circulating Th2 cells were measured (n=6 cohorts 1 and 2) by scRNA seq technology and demonstrated a reduction in these cells with treatment. As noted above, circulating Tregs cells increased in patients in cohort 3 and were associated with a prolonged treatment effect. These results are consistent with soquelitinib’s observed ability to block Th2 and Th17 cells and their secreted cytokines, such as IL-4, IL-5, IL-17 and the effects on T reg cells. This biomarker data suggest that soquelitinib induced an immune system rebalancing involving Th1, Th2, Th17 and Treg cells.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January 15, 2026, no new safety signals had been observed. Reported adverse events occurred in 41.7% of soquelitinib patients and 50% of placebo patients; all were Grade 1-2 and did not result in any dose modifications or interruptions. No severe or serious adverse events were reported. No significant lab abnormalities were seen.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March 2026, we initiated a Phase 2 clinical trial of soquelitinib for the treatment of atopic dermatitis. The trial is anticipated to enroll approximately 200 patients with moderate-to-severe atopic dermatitis that have failed at least one prior topical or systemic therapy. The trial is anticipated to enroll four cohorts of 50 patients each, with soquelitinib doses of: 200 mg once per day; 200 mg twice per day; and 400 mg once per day; along with a placebo group. The treatment period is anticipated to be 12 weeks with a 30-day follow-up period with no treatment.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Angel Pharmaceuticals, our partner in China, is enrolling a Phase 1b/2 clinical trial evaluating soquelitinib in patients with moderate-to-severe atopic dermatitis. This is a blinded, placebo-controlled trial that is planned to evaluate a 12-week treatment regimen in 48 patients utilizing soquelitinib doses of 100 mg twice per day, 200 mg once per day, 200 mg twice per day and 400 mg once per day. The patient eligibility and endpoints are similar to those used previously in our Phase 1 clinical trial. Depending on the results from the Phase 1b portion of the study, an additional 60-90 patients will be enrolled in the Phase 2 portion of the study. The trial is open at several leading dermatology centers in China who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have been involved in global registration trials. The study is being conducted in close collaboration with Corvus. Results from the initial cohorts are anticipated late this year.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Beyond our current and planned clinical trials for soquelitinib, we also continue to advance our next-generation ITK inhibitor preclinical product candidates, which were designed to deliver precise T-cell modulation that is optimized for specific immunology indications. The next-generation ITK inhibitor candidates are part of our ongoing business development efforts to maximize the potential of our ITK inhibitor programs and other programs.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issued patents covering composition of matter and uses of our ITK inhibitors and hold exclusive worldwide rights (except for greater China) for all indications.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i/>
          <w:sz w:val="20"/>
        </w:rPr>
        <w:t>Ciforadenant Adenosine A2A Receptor Antagonist.</w:t>
      </w:r>
      <w:r>
        <w:rPr>
          <w:rFonts w:ascii="Times New Roman;Times;serif" w:hAnsi="Times New Roman;Times;serif"/>
          <w:sz w:val="20"/>
        </w:rPr>
        <w:t xml:space="preserve"> Our second product candidate, ciforadenant, is an oral, small molecule antagonist of the A2A receptor for adenosine designed to disable a tumor’s ability to subvert attack by the immune system by blocking the binding of immunosuppressive adenosine in the tumor microenvironment to the A2A receptor. In 2018, we published preclinical findings in animal tumor models demonstrating that treatment with anti-CTLA4 antibody combined with ciforadenant provided synergistic anti-tumor activity based on a novel proposed mechanism of action. We are collaborating with the Kidney Cancer Research Consortium to evaluate ciforadenant in an open label Phase 1b/2 clinical trial as a first line therapy for metastatic RCC in combination with ipilimumab (anti-CTLA-4) and nivolumab (anti-PD-1). The efficacy endpoints for the trial are deep response rate, defined as CR plus PRs of greater than 50% tumor volume reduction as well as progression free survival. The clinical trial is planned to enroll up to 60 patients. The protocol defined pre-specified statistical threshold for efficacy is a 50% increase above the 32% deep response rate seen with previous ipilimumab/nivolumab combination trials in RCC conducted by investigators at the Kidney Cancer Research Consortium. Interim results from this trial were reported at the European Society of Clinical Oncology meeting in October 2025. The deep response rate was 34%, demonstrating an improvement compared to historical data for the combination of ipilimumab and nivolumab alone, though not statistically significant at this point in time. Patients with stable or responding disease continue to be followed. No further trials are planned.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i/>
          <w:sz w:val="20"/>
        </w:rPr>
        <w:t>Mupadolimab, B Cell Activating Anti-CD73 Antibody.</w:t>
      </w:r>
      <w:r>
        <w:rPr>
          <w:rFonts w:ascii="Times New Roman;Times;serif" w:hAnsi="Times New Roman;Times;serif"/>
          <w:sz w:val="20"/>
        </w:rPr>
        <w:t xml:space="preserve"> Our third product candidate is mupadolimab, a humanized monoclonal antibody that is designed to react with a specific site on CD73. In both preclinical and in vivo studies, mupadolimab has demonstrated binding to various immune cells and the enhancement of immune responses by activating B cells. While we believe mupadolimab has the potential to be an important new therapeutic agent with a novel proposed mechanism of action to support its development for the treatment of a broad range of cancers and infectious diseases, we are waiting to initiate a potential Phase 2 randomized clinical trial in order to prioritize the development of our other two lead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the majority of our efforts have been focused on the research, development and advancement of soquelitinib, ciforadenant, and mupadolimab, and we have not generated any revenue from product sales and, as a result, we have incurred significant losses. We expect to continue to incur significant research and development and general and administrative expenses related to our operations. Our net loss for the three months ended March 31, 2026 was $13.7 million, and net income for the three months ended March 31, 2025 was $15.2 million, which includes non-operating income of $25.1 million associated with a change in fair value of warrant liability. As of March 31, 2026, we had an accumulated deficit of $426.0 million. We expect our losses will increase as we continue our development of, seek regulatory approval for and, if approved, begin to commercialize soquelitinib, ciforadenant and mupadolimab, and as we develop other product candidates. Even if we achieve profitability in the future, we may not be able to sustain profitability in subsequent periods.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and through March 31, 2026, we have funded our operations primarily through the sale and issuance of stock, including through our initial public offering (“IPO”) in March 2016 and subsequent follow-on public offerings, including a follow-on public offering of common stock which was completed on January 23, 2026 and resulted in aggregate net proceeds of approximately $189.4 million.</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rPr>
        <w:t>On August 6, 2024, we entered into an Open Market Sale Agreement</w:t>
      </w:r>
      <w:r>
        <w:rPr>
          <w:rFonts w:ascii="Times New Roman;Times;serif" w:hAnsi="Times New Roman;Times;serif"/>
          <w:sz w:val="15"/>
        </w:rPr>
        <w:t>SM</w:t>
      </w:r>
      <w:r>
        <w:rPr>
          <w:rFonts w:ascii="Times New Roman;Times;serif" w:hAnsi="Times New Roman;Times;serif"/>
          <w:sz w:val="20"/>
        </w:rPr>
        <w:t xml:space="preserve"> (the “2024 Sales Agreement”) with Jefferies LLC (“Jefferies”) to sell shares of our common stock, from time-to-time, with aggregate gross sales proceeds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up to $100.0 million, through an at-the-market equity offering program under which Jefferies will act as our sales agent. The issuance and sale of shares of common stock pursuant to the 2024 Sales Agreement are deemed an “at-the-market” offering under the Securities Act of 1933, as amended. Jefferies is entitled to compensation for its services of up to 3.0% of the gross proceeds of any shares of common stock sold through Jefferies under the 2024 Sales Agreement</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January 2026 follow-on public offering, we suspended the at-the-market offering with respect to the 2024 Sales Agreement and, on March 13, 2026, entered into an Amended and Restated Open Market Sale Agreement</w:t>
      </w:r>
      <w:r>
        <w:rPr>
          <w:rFonts w:ascii="Times New Roman;Times;serif" w:hAnsi="Times New Roman;Times;serif"/>
          <w:sz w:val="15"/>
        </w:rPr>
        <w:t>SM</w:t>
      </w:r>
      <w:r>
        <w:rPr>
          <w:rFonts w:ascii="Times New Roman;Times;serif" w:hAnsi="Times New Roman;Times;serif"/>
          <w:sz w:val="20"/>
        </w:rPr>
        <w:t xml:space="preserve"> (the “Amended Sales Agreement”), with Jefferies, which amends and restates the 2024 Sales Agreement to increase the maximum aggregate offering price of shares of our common stock from $100.0 million to $200.0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2026, we did not sell any shares of common stock under our at-the-market offering program. As of March 31, 2026, $200.0 million remained available for sale under the Amended Sales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three product candidates, soquelitinib, ciforadenant and mupadolimab, are in clinical development by us and/or our partner, Angel Pharmaceuticals. Except for Greater China, we own the world-wide rights to these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result of our ongoing development efforts, we anticipate needing to spend substantial resources for the foreseeable future. Consequently,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Such financing could result in dilution to stockholders and may include the imposition of debt covenants and repayment obligations or other restrictions that may affect our business. If we raise additional capital through strategic collaboration agreements, we may have to relinquish valuable rights to our product candidates, including potential future revenue streams. Adequate additional financing may not be available to us on acceptable terms, or at all. For example, the trading prices for our and other biopharmaceutical companies’ stock have been highly volatile as a result of factors such as the impacts of pandemics and increases in inflation rates or interest rates or the broad imposition of tariffs and other trade controls. As a result, we may face difficulties raising capital through sales of our common stock and any such sales may be on unfavorable terms. Our inability to raise capital as and when needed would have a negative impact on our financial condition and our ability to pursue our business strategy. We will need to generate significant revenue to achieve profitability, and we may never do so.</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2026, we had capital resources consisting of cash, cash equivalents and marketable securities of approximately $236.7 million. Based on our currently available cash resources and our currently planned level of operations and cash flows, we expect that our cash resources will be sufficient to enable us to advance our programs into the second quarter of 2028. In accordance with applicable accounting standards, we evaluated whether there are conditions and events, considered in the aggregate, that raise substantial doubt about our ability to continue as a going concern for at least the next 12 months from the date of the issuance of the condensed consolidated financial statements included elsewhere in this Quarterly Report on Form 10-Q and concluded that our existing cash, cash equivalents and marketable securities are sufficient to fund our operations for at least the next 12 months from issuance of the condensed consolidated financial statements. However, the Company will need to continue to raise additional capital to fund its operations. See “Risk Factors—Risks Related to Our Limited Operating History, Financial Condition and Need for Additional Capital.”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no manufacturing capabilities and do not intend to establish any such capabilities. We have no commercial manufacturing facilities for our product candidates. As such, we are dependent on third parties to supply our product candidates according to our specifications, in sufficient quantities, on time, in compliance with appropriate regulatory standards and at competitive prices.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significant accounting policies are described in Note 2 to our consolidated financial statements for the year ended December 31, 2025 included in our Annual Report on Form 10-K filed with the SEC on March 12, 2026. There have been no material changes to our significant accounting policies during the three months ended March 31, 2026 from those discussed in our Annual Report on Form 10-K.</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we have not generated any revenues. We do not expect to receive any revenues from any product candidates that we develop unless and until we obtain regulatory approval and commercialize our products or enter into revenue-generating collaboration agreements with third parties.</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research and development expenses consist primarily of costs incurred to conduct research and development of our product candidates. We record research and development expenses as incurred. Research and development expenses include:</w:t>
      </w:r>
    </w:p>
    <w:p>
      <w:pPr>
        <w:pStyle w:val="TextBody"/>
        <w:bidi w:val="0"/>
        <w:spacing w:lineRule="auto" w:line="285" w:before="0" w:after="0"/>
        <w:ind w:left="0" w:right="0" w:hanging="0"/>
        <w:jc w:val="left"/>
        <w:rPr/>
      </w:pPr>
      <w:r>
        <w:rPr/>
        <w:t>​</w:t>
      </w:r>
    </w:p>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travel and non-cash stock-based compensation expense;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incurred under arrangements with third parties, such as contract research organizations, preclinical testing organizations, contract manufacturing organizations, academic and non-profit institutions and consultants;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acquire technologies to be used in research and development that have not reached technological feasibility and have no alternative future use;</w:t>
            </w:r>
          </w:p>
        </w:tc>
      </w:tr>
    </w:tbl>
    <w:p>
      <w:pPr>
        <w:pStyle w:val="TextBody"/>
        <w:bidi w:val="0"/>
        <w:spacing w:lineRule="auto" w:line="285" w:before="0" w:after="0"/>
        <w:ind w:left="720" w:right="0" w:hanging="0"/>
        <w:jc w:val="left"/>
        <w:rPr/>
      </w:pPr>
      <w:r>
        <w:rPr/>
        <w:t>​</w:t>
      </w:r>
    </w:p>
    <w:tbl>
      <w:tblPr>
        <w:tblW w:w="1866" w:type="dxa"/>
        <w:jc w:val="left"/>
        <w:tblInd w:w="0" w:type="dxa"/>
        <w:tblLayout w:type="fixed"/>
        <w:tblCellMar>
          <w:top w:w="28" w:type="dxa"/>
          <w:left w:w="28" w:type="dxa"/>
          <w:bottom w:w="28" w:type="dxa"/>
          <w:right w:w="28" w:type="dxa"/>
        </w:tblCellMar>
      </w:tblPr>
      <w:tblGrid>
        <w:gridCol w:w="124"/>
        <w:gridCol w:w="256"/>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fees; and</w:t>
            </w:r>
          </w:p>
        </w:tc>
      </w:tr>
    </w:tbl>
    <w:p>
      <w:pPr>
        <w:pStyle w:val="TextBody"/>
        <w:bidi w:val="0"/>
        <w:spacing w:lineRule="auto" w:line="285" w:before="0" w:after="0"/>
        <w:ind w:left="720" w:right="0" w:hanging="0"/>
        <w:jc w:val="left"/>
        <w:rPr/>
      </w:pPr>
      <w:r>
        <w:rPr/>
        <w:t>​</w:t>
      </w:r>
    </w:p>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which include direct and allocated expenses for laboratory, facilities and other costs.</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plan to increase our research and development expenses substantially as we continue the development and potential commercialization of our product candidates. Our current planned research and development activities include the following:</w:t>
      </w:r>
    </w:p>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enrollment and completion of our ongoing Phase 3 potentially registrational clinical trial for soquelitinib in PTCL;</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our ongoing Phase 1 clinical trial for soquelitinib in atopic dermatitis;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our Phase 1b/2 clinical trial with ciforadenant in collaboration with the Kidney Cancer Research Consortium;</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enrollment and completion of our Phase 2 clinical trial for soquelitinib in atopic dermatitis;</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clinical trial for soquelitinib in asthma;</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clinical trial for soquelitinib in hidradenitis suppurativa;</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 development and manufacturing of drug supply of soquelitinib; and</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under our other programs in order to select development product candidates.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to our product candidates that are in clinical development, we believe it is important to continue substantial investment in potential new product candidates to build the value of our product candidate pipeline and our business.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expenditures on current and future preclinical and clinical development programs are subject to numerous uncertainties related to timing and cost to completion. The duration, costs and timing of clinical trials and development of product candidates will depend on a variety of factors, including many of which are beyond our control. The process of conducting the necessary clinical research to obtain regulatory approval is costly and time consuming, and the successful development of our product candidates is uncertain. The risks and uncertainties associated with our research and development projects are discussed more fully in “Risk Factors.” As a result of these risks and uncertainties, we are unable to determine with any degree of certainty the duration and completion costs of our research and development projects or if, when or to what extent we will generate revenues from the commercialization and sale of any of our product candidates that obtain regulatory approval. We may never succeed in achieving regulatory approval for any of our product candidates.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personnel costs, expenses for outside professional services and allocated expenses. Personnel costs consist of salaries, benefits and stock-based compensation. Outside professional services consist of legal, accounting and audit services and other consulting fees. Allocated expenses consist of rent expense related to our office and research and development facility.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that our general and administrative expenses will increase in the future as we increase our headcount to support our continued research and development and potential commercialization of one or more of our product candidates.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i/>
          <w:sz w:val="20"/>
        </w:rPr>
        <w:t>Comparison of the periods below as indicated (in thousands)</w:t>
      </w:r>
      <w:r>
        <w:rPr>
          <w:rFonts w:ascii="Times New Roman;Times;serif" w:hAnsi="Times New Roman;Times;serif"/>
          <w:sz w:val="20"/>
        </w:rPr>
        <w:t>:</w:t>
      </w:r>
    </w:p>
    <w:p>
      <w:pPr>
        <w:pStyle w:val="TextBody"/>
        <w:bidi w:val="0"/>
        <w:spacing w:lineRule="auto" w:line="285" w:before="0" w:after="0"/>
        <w:ind w:left="0" w:right="0" w:hanging="0"/>
        <w:jc w:val="left"/>
        <w:rPr/>
      </w:pPr>
      <w:r>
        <w:rPr/>
        <w:t>​</w:t>
      </w:r>
    </w:p>
    <w:tbl>
      <w:tblPr>
        <w:tblW w:w="8422" w:type="dxa"/>
        <w:jc w:val="left"/>
        <w:tblInd w:w="0" w:type="dxa"/>
        <w:tblLayout w:type="fixed"/>
        <w:tblCellMar>
          <w:top w:w="0" w:type="dxa"/>
          <w:left w:w="0" w:type="dxa"/>
          <w:bottom w:w="0" w:type="dxa"/>
          <w:right w:w="0" w:type="dxa"/>
        </w:tblCellMar>
      </w:tblPr>
      <w:tblGrid>
        <w:gridCol w:w="3931"/>
        <w:gridCol w:w="346"/>
        <w:gridCol w:w="346"/>
        <w:gridCol w:w="211"/>
        <w:gridCol w:w="796"/>
        <w:gridCol w:w="146"/>
        <w:gridCol w:w="211"/>
        <w:gridCol w:w="691"/>
        <w:gridCol w:w="346"/>
        <w:gridCol w:w="211"/>
        <w:gridCol w:w="796"/>
        <w:gridCol w:w="391"/>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496185" cy="175260"/>
                      <wp:effectExtent l="0" t="0" r="0" b="0"/>
                      <wp:wrapNone/>
                      <wp:docPr id="221" name="Frame215"/>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05460" cy="175260"/>
                      <wp:effectExtent l="0" t="0" r="0" b="0"/>
                      <wp:wrapNone/>
                      <wp:docPr id="225" name="Frame2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2710" cy="175260"/>
                      <wp:effectExtent l="0" t="0" r="0" b="0"/>
                      <wp:wrapNone/>
                      <wp:docPr id="226" name="Frame2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38785" cy="175260"/>
                      <wp:effectExtent l="0" t="0" r="0" b="0"/>
                      <wp:wrapNone/>
                      <wp:docPr id="228" name="Frame2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05460" cy="175260"/>
                      <wp:effectExtent l="0" t="0" r="0" b="0"/>
                      <wp:wrapNone/>
                      <wp:docPr id="231" name="Frame22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48285" cy="175260"/>
                      <wp:effectExtent l="0" t="0" r="0" b="0"/>
                      <wp:wrapNone/>
                      <wp:docPr id="232" name="Frame22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0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center"/>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205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vAlign w:val="center"/>
          </w:tcPr>
          <w:p>
            <w:pPr>
              <w:pStyle w:val="TableContents"/>
              <w:bidi w:val="0"/>
              <w:spacing w:lineRule="auto" w:line="285" w:before="0" w:after="0"/>
              <w:ind w:left="0" w:right="0" w:hanging="0"/>
              <w:jc w:val="center"/>
              <w:rPr/>
            </w:pPr>
            <w:r>
              <w:rPr/>
              <w:t>​</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lineRule="auto" w:line="285"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  ​</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  ​</w:t>
            </w:r>
          </w:p>
        </w:tc>
        <w:tc>
          <w:tcPr>
            <w:tcW w:w="391" w:type="dxa"/>
            <w:tcBorders/>
            <w:shd w:fill="CCEEFF" w:val="clear"/>
            <w:vAlign w:val="center"/>
          </w:tcPr>
          <w:p>
            <w:pPr>
              <w:pStyle w:val="TableContents"/>
              <w:bidi w:val="0"/>
              <w:spacing w:lineRule="auto" w:line="285" w:before="0" w:after="0"/>
              <w:ind w:left="0" w:right="0" w:hanging="0"/>
              <w:jc w:val="left"/>
              <w:rPr/>
            </w:pPr>
            <w:r>
              <w:rPr/>
              <w:t> </w:t>
            </w:r>
          </w:p>
        </w:tc>
      </w:tr>
      <w:tr>
        <w:trPr/>
        <w:tc>
          <w:tcPr>
            <w:tcW w:w="39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11,175</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7,453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3,722</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3,702</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14,877</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9,922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4,955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(14,877)</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(4,955)</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and other expense, net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1,784</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1,259</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(25,129)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(loss) before equity method investment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(13,093)</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15,732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(28,825)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equity method investment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(13,692)</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15,193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(28,885)</w:t>
            </w:r>
          </w:p>
        </w:tc>
        <w:tc>
          <w:tcPr>
            <w:tcW w:w="3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for the three months ended March 31, 2026 and 2025 consisted of the following costs by program as well as unallocated employee costs and overhead costs (specific program costs consist solely of external costs) (in thousands):</w:t>
      </w:r>
    </w:p>
    <w:p>
      <w:pPr>
        <w:pStyle w:val="TextBody"/>
        <w:bidi w:val="0"/>
        <w:spacing w:lineRule="auto" w:line="285" w:before="0" w:after="0"/>
        <w:ind w:left="0" w:right="0" w:hanging="0"/>
        <w:jc w:val="left"/>
        <w:rPr/>
      </w:pPr>
      <w:r>
        <w:rPr/>
        <w:t>​</w:t>
      </w:r>
    </w:p>
    <w:tbl>
      <w:tblPr>
        <w:tblW w:w="7421" w:type="dxa"/>
        <w:jc w:val="left"/>
        <w:tblInd w:w="0" w:type="dxa"/>
        <w:tblLayout w:type="fixed"/>
        <w:tblCellMar>
          <w:top w:w="0" w:type="dxa"/>
          <w:left w:w="0" w:type="dxa"/>
          <w:bottom w:w="0" w:type="dxa"/>
          <w:right w:w="0" w:type="dxa"/>
        </w:tblCellMar>
      </w:tblPr>
      <w:tblGrid>
        <w:gridCol w:w="3541"/>
        <w:gridCol w:w="346"/>
        <w:gridCol w:w="211"/>
        <w:gridCol w:w="676"/>
        <w:gridCol w:w="346"/>
        <w:gridCol w:w="211"/>
        <w:gridCol w:w="571"/>
        <w:gridCol w:w="346"/>
        <w:gridCol w:w="211"/>
        <w:gridCol w:w="571"/>
        <w:gridCol w:w="391"/>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248535" cy="175260"/>
                      <wp:effectExtent l="0" t="0" r="0" b="0"/>
                      <wp:wrapNone/>
                      <wp:docPr id="233" name="Frame227"/>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29260" cy="175260"/>
                      <wp:effectExtent l="0" t="0" r="0" b="0"/>
                      <wp:wrapNone/>
                      <wp:docPr id="236" name="Frame2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62585" cy="175260"/>
                      <wp:effectExtent l="0" t="0" r="0" b="0"/>
                      <wp:wrapNone/>
                      <wp:docPr id="239" name="Frame2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62585" cy="175260"/>
                      <wp:effectExtent l="0" t="0" r="0" b="0"/>
                      <wp:wrapNone/>
                      <wp:docPr id="242" name="Frame2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48285" cy="175260"/>
                      <wp:effectExtent l="0" t="0" r="0" b="0"/>
                      <wp:wrapNone/>
                      <wp:docPr id="243" name="Frame23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1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center"/>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01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vAlign w:val="center"/>
          </w:tcPr>
          <w:p>
            <w:pPr>
              <w:pStyle w:val="TableContents"/>
              <w:bidi w:val="0"/>
              <w:spacing w:lineRule="auto" w:line="285" w:before="0" w:after="0"/>
              <w:ind w:left="0" w:right="0" w:hanging="0"/>
              <w:jc w:val="center"/>
              <w:rPr/>
            </w:pPr>
            <w:r>
              <w:rPr/>
              <w:t>​</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5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Soquelitinib</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6,696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2,447</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5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programs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5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Unallocated employee and overhead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1,274</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11,175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7,453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3,722</w:t>
            </w:r>
          </w:p>
        </w:tc>
        <w:tc>
          <w:tcPr>
            <w:tcW w:w="3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2026, the increase in soquelitinib costs of $2.4 million as compared to the three months ended March 31, 2025, primarily consisted of an increase of $3.0 million in clinical trial expenses and an increase of $0.7 million in other outside service costs, which were partially offset by a decrease of $1.3 million in drug manufacturing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2026, the increase other programs costs were negligible.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2026, the increase in unallocated costs of $1.3 million as compared to the three months ended March 31, 2025, primarily consisted of an increase of $1.3 million in personnel and related costs and an increase of $0.1 million in other outside service costs, which were partially offset by a decrease of $0.1 million in facilities related costs.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2026, the increase in general and administrative expenses of $1.2 million as compared to the three months ended March 31, 2025, primarily consisted of an increase of $1.0 million in personnel and related costs and an increase of $0.2 million in outside service costs.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 and Other Expense, net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2026, the increase in interest income and other expense, net of $1.3 million as compared to the three months ended March 31, 2025, primarily consisted of an increase in interest income earned due to an increase in cash equivalents and marketable securities.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warrant liabilities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2026, the change in fair value of warrant liability was zero as all common warrants had been exercised as of June 30,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2025, the change in fair value of warrant liability of $25.1 million represents a decrease in the fair value of common warrants from December 31, 2024 to March 31, 2025, which was primarily due to a decrease in the market price of the Company’s common stock.</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Loss from equity method investment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2026, the increase in loss from equity method investment of $0.1 million as compared to the three months ended March 31, 2025, primarily consisted of an increase in Angel Pharmaceuticals’ loss for the three months ended March 31,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2026, we had cash, cash equivalents and marketable securities of $236.7 million, and an accumulated deficit of</w:t>
      </w:r>
      <w:r>
        <w:rPr>
          <w:rFonts w:ascii="Times New Roman;Times;serif" w:hAnsi="Times New Roman;Times;serif"/>
          <w:color w:val="FF0000"/>
          <w:sz w:val="20"/>
        </w:rPr>
        <w:t xml:space="preserve"> </w:t>
      </w:r>
      <w:r>
        <w:rPr>
          <w:rFonts w:ascii="Times New Roman;Times;serif" w:hAnsi="Times New Roman;Times;serif"/>
          <w:sz w:val="20"/>
        </w:rPr>
        <w:t>$426.0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and through March 31, 2026, we have funded our operations primarily through the sale and issuance of preferred and common stock, including through our IPO in March 2016, in which we raised net proceeds of approximately $70.6 million, a follow-on offering of our common stock in March 2018, in which we raised net proceeds of approximately $64.9 million, a follow on offering of our common stock in February 2021, in which we raised net proceeds of approximately $32.0 million, and a registered direct offering in May 2024, in which we sold shares of our common stock, pre-funded warrants and common stock warrants for net proceeds of approximately $30.3 million and proceeds of $54.3 million from the exercise of common stock warrants. On January 23, 2026, we completed a follow-on offering of common stock, which resulted in aggregate net proceeds of approximately $189.4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January 2026 follow-on offering, we suspended the at-the-market offering with respect to the 2024 Sales Agreement and, on March 13, 2026, entered into the Amended Sales Agreement, with Jefferies, which amends and restates the 2024 Sales Agreement to increase the maximum aggregate offering price of shares of our common stock from $100.0 million to $200.0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2026, we did not sell any shares of common stock under our at-the-market offering program. As of March 31, 2026, $200.0 million remained available for sale under the Amended Sales Agreement.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our inception, we have incurred significant losses and negative cash flows from operations. We have an accumulated deficit of $426.0 million through March 31, 2026. We do not expect positive cash flows from operations in the foreseeable future, if ever. Historically, we have incurred operating losses as a result of ongoing efforts to develop our product candidates, including conducting ongoing research and development, clinical and preclinical studies and providing general and administrative support for these operations. We do not have any products approved for sale, and we do not expect to generate any meaningful revenue unless and until we obtain regulatory approval of and commercialize any of our current and future product candidates and/or enter into additional significant collaboration agreements with third parties, and we do not know when, or if, either will occur. We expect to continue to incur net operating losses for at least the next several years and we expect the losses to increase as we advance soquelitinib, as well as any other product candidates, through clinical development, seek regulatory approval, prepare for and, if approved, proceed to commercialization and continue our research and development efforts. We are subject to all the risks typically related to the development of new product candidates, and we may encounter unforeseen expenses, difficulties, complications, delays and other unknown factors that may adversely affect our business. We do not yet have a sales organization or commercial infrastructure and, accordingly, we will need to incur significant expenses to develop a sales organization and commercial infrastructure in advance of generating any commercial product sales. Moreover, we incur substantial costs associated with operating as a public company. We anticipate that we will need substantial additional funding in connection with our continuing operations.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Until we can generate a sufficient amount of revenue from the commercialization of our product candidates or from additional significant collaboration or license agreements with third parties, if ever, we expect to finance our future cash needs through private and public equity offerings and potential future collaboration, license and development agreements. Adequate funding may not be available to us on acceptable terms, or at all. If we are unable to raise additional capital in sufficient amounts or on terms acceptable to us, we will be required to significantly reduce our operating expenses and may have to significantly delay, scale back or discontinue the development of one or more of our current or future product candidates. If we raise additional funds by issuing equity or convertible debt securities, it could result in dilution to our existing stockholders and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additional debt, limitations on our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candidates or grant licenses on terms that are not favorable to us. Any of the foregoing could significantly harm our business, financial condition and prospects.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to incur substantial additional losses in the future as we conduct our planned research and development activities. We believe that our existing cash, cash equivalents and marketable securities will be sufficient to fund our planned operating and capital needs into the second quarter of 2028. Our forecast of the period of time through which our financial resources will be adequate to support our operations is a forward-looking statement that involves risks and uncertainties, and actual results could vary materially based on a number of factors.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product candidates, we are unable to estimate the exact amount of our operating capital requirements. Our future capital requirements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timing, costs and results of clinical trials for soquelitinib, including the potentially registrational clinical trial for soquelitinib, and to a lesser extent, the timing, costs and results of the clinical trials for ciforadenant and mupadolimab;</w:t>
            </w:r>
          </w:p>
        </w:tc>
      </w:tr>
    </w:tbl>
    <w:p>
      <w:pPr>
        <w:pStyle w:val="TextBody"/>
        <w:pBdr/>
        <w:bidi w:val="0"/>
        <w:spacing w:lineRule="auto" w:line="285"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costs and results of preclinical and clinical development activities for our other product candidates;</w:t>
            </w:r>
          </w:p>
        </w:tc>
      </w:tr>
    </w:tbl>
    <w:p>
      <w:pPr>
        <w:pStyle w:val="TextBody"/>
        <w:pBdr/>
        <w:bidi w:val="0"/>
        <w:spacing w:lineRule="auto" w:line="285" w:before="0" w:after="0"/>
        <w:ind w:left="720" w:right="0" w:hanging="360"/>
        <w:jc w:val="left"/>
        <w:rPr/>
      </w:pPr>
      <w:r>
        <w:rPr/>
        <w:t>​</w:t>
      </w:r>
    </w:p>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scope of preclinical and clinical programs we decide to pursue;</w:t>
            </w:r>
          </w:p>
        </w:tc>
      </w:tr>
    </w:tbl>
    <w:p>
      <w:pPr>
        <w:pStyle w:val="TextBody"/>
        <w:pBdr/>
        <w:bidi w:val="0"/>
        <w:spacing w:lineRule="auto" w:line="285" w:before="0" w:after="0"/>
        <w:ind w:left="720" w:right="0" w:hanging="360"/>
        <w:jc w:val="left"/>
        <w:rPr/>
      </w:pPr>
      <w:r>
        <w:rPr/>
        <w:t>​</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involved in prosecuting, maintaining and enforcing patent and other intellectual property rights;</w:t>
            </w:r>
          </w:p>
        </w:tc>
      </w:tr>
    </w:tbl>
    <w:p>
      <w:pPr>
        <w:pStyle w:val="TextBody"/>
        <w:pBdr/>
        <w:bidi w:val="0"/>
        <w:spacing w:lineRule="auto" w:line="285" w:before="0" w:after="0"/>
        <w:ind w:left="720" w:right="0" w:hanging="360"/>
        <w:jc w:val="left"/>
        <w:rPr/>
      </w:pPr>
      <w:r>
        <w:rPr/>
        <w:t>​</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regulatory approvals;</w:t>
            </w:r>
          </w:p>
        </w:tc>
      </w:tr>
    </w:tbl>
    <w:p>
      <w:pPr>
        <w:pStyle w:val="TextBody"/>
        <w:pBdr/>
        <w:bidi w:val="0"/>
        <w:spacing w:lineRule="auto" w:line="285"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enhance operational systems and hire additional personnel, including personnel to support development of our product candidates and satisfy our obligations as a public company; and</w:t>
            </w:r>
          </w:p>
        </w:tc>
      </w:tr>
    </w:tbl>
    <w:p>
      <w:pPr>
        <w:pStyle w:val="TextBody"/>
        <w:bidi w:val="0"/>
        <w:spacing w:lineRule="auto" w:line="285" w:before="0" w:after="0"/>
        <w:ind w:left="0" w:right="0" w:hanging="0"/>
        <w:jc w:val="left"/>
        <w:rPr/>
      </w:pPr>
      <w:r>
        <w:rPr/>
        <w:t>​</w:t>
      </w:r>
    </w:p>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described in the section of this Quarterly Report on Form 10-Q entitled “Risk Factors.”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Summary of Statement of Cash Flows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 (in thousands):</w:t>
      </w:r>
    </w:p>
    <w:p>
      <w:pPr>
        <w:pStyle w:val="TextBody"/>
        <w:bidi w:val="0"/>
        <w:spacing w:lineRule="auto" w:line="285" w:before="0" w:after="0"/>
        <w:ind w:left="0" w:right="0" w:hanging="0"/>
        <w:jc w:val="left"/>
        <w:rPr/>
      </w:pPr>
      <w:r>
        <w:rPr/>
        <w:t>​</w:t>
      </w:r>
    </w:p>
    <w:tbl>
      <w:tblPr>
        <w:tblW w:w="7418" w:type="dxa"/>
        <w:jc w:val="left"/>
        <w:tblInd w:w="0" w:type="dxa"/>
        <w:tblLayout w:type="fixed"/>
        <w:tblCellMar>
          <w:top w:w="0" w:type="dxa"/>
          <w:left w:w="0" w:type="dxa"/>
          <w:bottom w:w="0" w:type="dxa"/>
          <w:right w:w="0" w:type="dxa"/>
        </w:tblCellMar>
      </w:tblPr>
      <w:tblGrid>
        <w:gridCol w:w="4321"/>
        <w:gridCol w:w="346"/>
        <w:gridCol w:w="211"/>
        <w:gridCol w:w="901"/>
        <w:gridCol w:w="346"/>
        <w:gridCol w:w="211"/>
        <w:gridCol w:w="691"/>
        <w:gridCol w:w="39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743835" cy="175260"/>
                      <wp:effectExtent l="0" t="0" r="0" b="0"/>
                      <wp:wrapNone/>
                      <wp:docPr id="244" name="Frame238"/>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72135" cy="175260"/>
                      <wp:effectExtent l="0" t="0" r="0" b="0"/>
                      <wp:wrapNone/>
                      <wp:docPr id="247" name="Frame24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38785" cy="175260"/>
                      <wp:effectExtent l="0" t="0" r="0" b="0"/>
                      <wp:wrapNone/>
                      <wp:docPr id="250" name="Frame2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48285" cy="175260"/>
                      <wp:effectExtent l="0" t="0" r="0" b="0"/>
                      <wp:wrapNone/>
                      <wp:docPr id="251" name="Frame24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3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36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43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  ​</w:t>
            </w:r>
          </w:p>
        </w:tc>
        <w:tc>
          <w:tcPr>
            <w:tcW w:w="391" w:type="dxa"/>
            <w:tcBorders/>
            <w:shd w:fill="CCEEFF" w:val="clear"/>
            <w:vAlign w:val="center"/>
          </w:tcPr>
          <w:p>
            <w:pPr>
              <w:pStyle w:val="TableContents"/>
              <w:bidi w:val="0"/>
              <w:spacing w:lineRule="auto" w:line="285" w:before="0" w:after="0"/>
              <w:ind w:left="0" w:right="0" w:hanging="0"/>
              <w:jc w:val="left"/>
              <w:rPr/>
            </w:pPr>
            <w:r>
              <w:rPr/>
              <w:t> </w:t>
            </w:r>
          </w:p>
        </w:tc>
      </w:tr>
      <w:tr>
        <w:trPr/>
        <w:tc>
          <w:tcPr>
            <w:tcW w:w="4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(10,374)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(8,263)</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(144,846)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4,243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190,746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35,526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(3,741)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Cash used in operating activities during the three months ended March 31, 2026 was $10.4 million, which primarily consisted of a net loss of $13.7 million, adjusted by net non-cash transactions of $3.3 million, that primarily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consisted of $2.7 million of stock-based compensation expense and $0.6 million of loss from equity method investment; an increase of $1.8 million in prepaid and other current assets; an increase of $0.9 million in other assets; an increase of $2.2 million in accounts payable; and an increase of $0.5 million in accrued and other current liabilities.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Cash used in operating activities during the three months ended March 31, 2025 was $8.3 million, which primarily consisted of a net income of $15.2 million, adjusted by net non-cash transactions of $23.6 million, that primarily consisted of $1.3 million of stock-based compensation expense, $0.5 million of loss from equity method investment and a decrease of $25.1 million in the fair value of warrant liability; an increase of $1.2 million in prepaid and other current assets; a decrease of $1.3 million in accounts payable; an increase of $0.1 million in accrued and other current liabilities; and a decrease of $0.1 million in operating lease liability net of operating lease right-of-use assets amortization.</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2026. net cash flows used in investing activities was $144.8 million, which primarily consisted of purchases of marketable securities of $161.7 million and purchases of property and equipment of $0.1 million, which were partially offset by maturities of marketable securities of $17.0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2025. net cash flows provided by investing activities was $4.2 million, which primarily consisted of maturities of marketable securities of $12.0 million, which were partially offset by purchases of marketable securities of $7.7 million.</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2026, cash provided by financing activities was $190.7 million, which primarily consisted of net proceeds of $189.4 million from the January 2026 follow-on public offering and proceeds of $1.3 million from the exercise of stock options.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2025, cash provided by financing activities was $0.3 million, which primarily consisted of proceeds from the exercise of stock options.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outside the ordinary course of our business to our contractual obligations during the three months ended March 31, 2026, as compared to those disclosed in our Annual Report on Form 10-K filed with the SEC on March 12, 2026.</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changes to our critical accounting estimates during the three months ended March 31, 2026, as compared to those disclosed in our Annual Report on Form 10-K filed with the SEC on March 12, 2026.</w:t>
      </w:r>
    </w:p>
    <w:p>
      <w:pPr>
        <w:pStyle w:val="TextBody"/>
        <w:bidi w:val="0"/>
        <w:spacing w:lineRule="auto" w:line="285" w:before="0" w:after="0"/>
        <w:ind w:left="0" w:right="0" w:hanging="0"/>
        <w:jc w:val="left"/>
        <w:rPr>
          <w:rFonts w:ascii="Times New Roman;Times;serif" w:hAnsi="Times New Roman;Times;serif"/>
          <w:b/>
          <w:sz w:val="20"/>
        </w:rPr>
      </w:pPr>
      <w:bookmarkStart w:id="819" w:name="Item3QuantitativeandQualitativeDisclosur"/>
      <w:bookmarkStart w:id="820" w:name="_0368776b_2992_4005_9929_b2c1c3da03ad"/>
      <w:bookmarkEnd w:id="819"/>
      <w:bookmarkEnd w:id="820"/>
      <w:r>
        <w:rPr>
          <w:rFonts w:ascii="Times New Roman;Times;serif" w:hAnsi="Times New Roman;Times;serif"/>
          <w:b/>
          <w:sz w:val="20"/>
        </w:rPr>
        <w:t>Item 3.    Quantitative and Qualitative Disclosures about Market Risk</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exposed to market risk related to changes in interest rates. We had cash and cash equivalents and marketable securities of $236.7 million as of March 31, 2026 and cash, cash equivalents and marketable securities of $56.8 million as of December 31, 2025, which consisted of bank deposits, money market investments, U.S. Treasury securities and U.S. government agency securities. Such interest-earning instruments carry a degree of interest rate risk; however, historical fluctuations of interest income have not been significant. Due to the short-term duration of our investment portfolio and the low risk profile of our investments, an immediate 10% increase in interest rates would not have a material effect on the fair market value of our portfolio.</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bookmarkStart w:id="821" w:name="Item4ControlsandProcedures_996727"/>
      <w:bookmarkStart w:id="822" w:name="_9709292c_c619_47cf_8cfa_c75098eab92b"/>
      <w:bookmarkEnd w:id="821"/>
      <w:bookmarkEnd w:id="822"/>
      <w:r>
        <w:rPr>
          <w:rFonts w:ascii="Times New Roman;Times;serif" w:hAnsi="Times New Roman;Times;serif"/>
          <w:b/>
          <w:sz w:val="20"/>
        </w:rPr>
        <w:t>Item 4.    Controls and Procedures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          Evaluation of Disclosure Controls and Procedures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Due to the inherent limitations of control systems, including the possibility of human error and the circumvention or overriding of the controls and procedures, not all misstatements may be prevented or detected. Our disclosure controls and procedures are designed to provide reasonable assurance of achieving their control objectives.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required by Rule 13a-15(b) under the Exchange Act, our management, with the participation of our Chief Executive Officer and Chief Financial Officer, has evaluated the effectiveness of our disclosure controls and procedures as of March 31, 2026 the end of the period covered by this Quarterly Report on Form 10-Q. Based upon such evaluation, our Chief Executive Officer and Chief Financial Officer have concluded that our disclosure controls and procedures were effective at the reasonable assurance level as of such date.</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(b)          Changes in Internal Controls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823" w:name="PARTIIOTHERINFORMATION_177066"/>
      <w:bookmarkStart w:id="824" w:name="_77776295_26ea_4edc_be4f_27c3e78b38dc"/>
      <w:bookmarkEnd w:id="823"/>
      <w:bookmarkEnd w:id="824"/>
      <w:r>
        <w:rPr>
          <w:rFonts w:ascii="Times New Roman;Times;serif" w:hAnsi="Times New Roman;Times;serif"/>
          <w:b/>
          <w:sz w:val="20"/>
        </w:rPr>
        <w:t>PART II — OTHER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825" w:name="Item1LegalProceedings_213471"/>
      <w:bookmarkEnd w:id="825"/>
      <w:r>
        <w:rPr>
          <w:rFonts w:ascii="Times New Roman;Times;serif" w:hAnsi="Times New Roman;Times;serif"/>
          <w:b/>
          <w:sz w:val="20"/>
        </w:rPr>
        <w:t>Item 1 — Legal Proceedings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not currently a party to any material litigation or legal proceedings.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826" w:name="RiskFactors"/>
      <w:bookmarkStart w:id="827" w:name="_231a419f_90f2_4be9_8aeb_0c1a6afb3787"/>
      <w:bookmarkEnd w:id="826"/>
      <w:bookmarkEnd w:id="827"/>
      <w:r>
        <w:rPr>
          <w:rFonts w:ascii="Times New Roman;Times;serif" w:hAnsi="Times New Roman;Times;serif"/>
          <w:b/>
          <w:sz w:val="20"/>
        </w:rPr>
        <w:t>Item 1A — Risk Factors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Our business involves significant risks, some of which are described below. You should consider carefully the risks and uncertainties described below, together with all of the other information in this Quarterly Report on Form 10-Q, including our unaudited condensed consolidated financial statements and related notes included elsewhere in this Quarterly Report on Form 10-Q and “Management’s Discussion and Analysis of Financial Condition and Results of Operations.” If any of the following risks are realized, our business, financial condition, results of operations and prospects could be materially and adversely affected. Additional risks and uncertainties not presently known to us or that we currently deem immaterial may also impair our business operations.</w:t>
      </w:r>
    </w:p>
    <w:p>
      <w:pPr>
        <w:pStyle w:val="TextBody"/>
        <w:bidi w:val="0"/>
        <w:spacing w:lineRule="auto" w:line="285" w:before="0" w:after="0"/>
        <w:ind w:left="0" w:right="0" w:hanging="0"/>
        <w:jc w:val="left"/>
        <w:rPr/>
      </w:pPr>
      <w:r>
        <w:rPr/>
        <w:t>​</w:t>
      </w:r>
    </w:p>
    <w:p>
      <w:pPr>
        <w:pStyle w:val="TextBody"/>
        <w:bidi w:val="0"/>
        <w:spacing w:lineRule="auto" w:line="304" w:before="0" w:after="160"/>
        <w:ind w:left="0" w:right="0" w:hanging="0"/>
        <w:jc w:val="left"/>
        <w:rPr>
          <w:rFonts w:ascii="Times New Roman;Times;serif" w:hAnsi="Times New Roman;Times;serif"/>
          <w:b/>
          <w:sz w:val="20"/>
        </w:rPr>
      </w:pPr>
      <w:r>
        <w:rPr>
          <w:rFonts w:ascii="Times New Roman;Times;serif" w:hAnsi="Times New Roman;Times;serif"/>
          <w:b/>
          <w:sz w:val="20"/>
        </w:rPr>
        <w:t>Risk Factor Summary</w:t>
      </w:r>
    </w:p>
    <w:p>
      <w:pPr>
        <w:pStyle w:val="TextBody"/>
        <w:bidi w:val="0"/>
        <w:spacing w:lineRule="auto" w:line="285" w:before="240" w:after="0"/>
        <w:ind w:left="0" w:right="0" w:firstLine="720"/>
        <w:jc w:val="both"/>
        <w:rPr>
          <w:rFonts w:ascii="Times New Roman;Times;serif" w:hAnsi="Times New Roman;Times;serif"/>
          <w:sz w:val="20"/>
        </w:rPr>
      </w:pPr>
      <w:r>
        <w:rPr>
          <w:rFonts w:ascii="Times New Roman;Times;serif" w:hAnsi="Times New Roman;Times;serif"/>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(“SEC”) before making investment decisions regarding our common stock.</w:t>
      </w:r>
    </w:p>
    <w:p>
      <w:pPr>
        <w:pStyle w:val="TextBody"/>
        <w:bidi w:val="0"/>
        <w:spacing w:lineRule="auto" w:line="285" w:before="0" w:after="28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and expect to incur significant losses for the foreseeable future. We may never generate any revenue or become profitable or, if we achieve profitability, we may not be able to sustain 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are in various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drug development involves a lengthy and expensive process with an uncertain outcome, and the results of preclinical studies and early clinical trials are not necessarily predictive of future results. Any product candidate we or any of our existing or potential future collaborators advance into clinical trials, including soquelitinib, ciforadenant and mupadolimab, may not have favorable results in later clinical trials, if any, or receive regulatory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or suspension of, or delays in the commencement or completion of, our planned clinical trials could result in increased costs to us, delay or limit our ability to generate revenue and adversely affect our commercial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are subject to extensive regulation, compliance with which is costly and time consuming, and such regulation may cause unanticipated delays or prevent the receipt of the required approvals to commercialize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conducting and plan to conduct clinical trials for soquelitinib, ciforadenant and mupadolimab, and we and Angel Pharmaceuticals may in the future, conduct additional clinical trials of product candidates at sites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United States, and the Food and Drug Administration (“FDA”) may not accept data from trials conducted in foreign locations.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encounter difficulties enrolling subjects in our clinical trials, our clinical development activities could be delayed or otherwise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serious complications or side effects in connection with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new indications, which could severely harm our business, prospects, results of operations and financial condition.</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our efforts to identify or discover additional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and expect to continue to rely, on third parties to conduct our clinical trials. If these third parties do not meet our deadlines or otherwise conduct the trials as required, our clinical development programs could be delayed or unsuccessful and we may not be able to obtain regulatory approval for or commercialize our product candidates when expected,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some or all aspects of our manufacturing, research and preclinical and clinical testing, and these third parties may not perform satisfactorily.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third-party manufacturers, may be unable to successfully scale-up manufacturing of our product candidates in sufficient quality and quantity, which would delay or prevent us from developing our product candidates and commercializing approved products,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commercialize our product candidates or if we experience significant delays in obtaining regulatory approval for, or commercializing, any or all of our product candidates, our business will be materially and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achieve our projected development goals in the time frames we announce and expect, the commercialization of our products may be delayed and, as a result, our stock price may decline.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liquid and orderly market for our common stock may not be sustained.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shares of our common stock could be highly volatile, and investors in our common stock could incur substantial losses.</w:t>
            </w:r>
          </w:p>
        </w:tc>
      </w:tr>
    </w:tbl>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Limited Operating History, Financial Condition and Need for Additional Capital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incurred significant operating losses since our inception and expect to incur significant losses for the foreseeable future. We may never generate any revenue or become profitable or, if we achieve profitability, we may not be able to sustain it.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a clinical-stage biopharmaceutical company that has never generated revenue from the sale of our product candidates. Biopharmaceutical product development is a highly speculative undertaking and involves a substantial degree of risk. To date, we have focused primarily on developing our lead product candidates, soquelitinib,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ciforadenant and mupadolimab, and researching additional product candidates. We have incurred significant operating losses since we were founded in January 2014 and have not yet generated any revenue from sales. If our product candidates are not approved, we may never generate any revenue. We incurred a net loss of $15.3 million, $62.3 million and $27.0 million for the years ended December 31, 2025, 2024 and 2023, respectively. During the three months ended March 31, 2026 and 2025, we recorded a net loss of $13.7 million and net income of $15.2 million, respectively. We had an accumulated deficit of $426.0 million as of March 31, 2026. We expect to continue to incur losses for the foreseeable future, and we anticipate these losses will increase as we continue our development of, seek regulatory approval for and, if approved, begin to commercialize soquelitinib, and as we develop other product candidates. Even if we achieve profitability in the future, we may not be able to sustain it in subsequent periods. Our prior losses, combined with expected future losses, have had and will continue to have an adverse effect on our stockholders’ equity and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the majority of our efforts have been focused on the research and development of soquelitinib, ciforadenant and mupadolimab. We believe that we will continue to expend substantial resources for the foreseeable future as we continue clinical development of, seek regulatory approval for and, if approved, prepare for the commercialization of soquelitinib, as well as product candidates under our other development programs. These expenditures will include costs associated with research and development, conducting preclinical studies and clinical trials, obtaining regulatory approvals, manufacturing and supply, sales and marketing and general operations. In addition, other unanticipated costs may arise. Because the outcome of any clinical trial and/or regulatory approval process is highly uncertain, we may not be able to accurately estimate the actual amounts necessary to successfully complete the development, regulatory approval process and commercialization of soquelitinib, ciforadenant and mupadolimab or any other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Based on our planned expenditures and capital expenditures requirements, our cash, cash equivalents and marketable securities of $236.7 million as of March 31, 2026, we expect that our existing capital resources will be sufficient to fund our operations into the second quarter of 2028. As a result, we do not expect our existing capital resources to be sufficient to enable us to fund the completion of all of our ongoing and planned clinical trials and remaining development programs through commercialization. In addition, while Angel Pharmaceuticals has received outside investment of approximately $41.0 million in connection with its formation and licensing of certain of our intellectual property, such cash is not available for our use. Our operating plan may change as a result of many factors, including those described below as well as others currently unknown to us, and we will need to seek additional funds, through public or private equity, and debt financings or other sources, such as strategic collaborations. Such financing would result in dilution to stockholders, imposition of debt covenants and repayment obligations or other restrictions that may affect our business. If we raise additional capital through strategic collaboration agreements, we may have to relinquish valuable rights to our product candidates, including possible future revenue streams. For example, in October 2020 we formed Angel Pharmaceuticals with a group of investors in China to create a new China-based biopharmaceutical company with a mission to bring innovative quality medicines to Chinese patients for treatment of serious diseases including cancer, autoimmune diseases and infectious diseases. We granted Angel Pharmaceuticals a license to rights to develop and commercialize our three clinical-stage candidates – soquelitinib, ciforadenant and mupadolimab – in greater China and Angel Pharmaceuticals obtained global rights to our Bruton’s tyrosine kinase (“BTK”) inhibitor preclinical programs. In addition, additional funding may not be available to us on acceptable terms, or at all, and any additional fundraising efforts may divert our management from their day-to-day activities, which may adversely affect our ability to develop and commercialize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amount and timing of any expenditures needed to implement our development and commercialization programs will depend on numerous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type, number, scope, progress, expansions, results of and timing of our ongoing and planned clinical trials of soquelitinib (including the potential registration trial), ciforadenant and mupadolimab</w:t>
            </w:r>
            <w:r>
              <w:rPr>
                <w:caps w:val="false"/>
                <w:smallCaps w:val="false"/>
              </w:rPr>
              <w:t xml:space="preserve"> </w:t>
            </w:r>
            <w:r>
              <w:rPr>
                <w:rFonts w:ascii="Times New Roman;Times;serif" w:hAnsi="Times New Roman;Times;serif"/>
                <w:b w:val="false"/>
                <w:i w:val="false"/>
                <w:caps w:val="false"/>
                <w:smallCaps w:val="false"/>
                <w:sz w:val="20"/>
              </w:rPr>
              <w:t xml:space="preserve">and any of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planned preclinical studies and clinical trials of other product candidates which we are pursuing or may choose to pursue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and the progress, costs and results of, any additional clinical trials of soquelitinib, ciforadenant and mupadolimab or any of our other product candidates we may initiate based on the results of our planned clinical trials or discussions with the FDA or other regulatory agencies, including any additional trials the FDA or other regulatory agencies may require;</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obtaining, maintaining and enforcing our patents and other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obtaining or maintaining manufacturing for soquelitinib, ciforadenant and mupadolimab and our other product candidates, including commercial manufacturing if any product candidate is approved;</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establishing sales and marketing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sufficient market acceptance, coverage and reimbursement from third-party payors and adequate market share for our product candidates;</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establishing collaborations, license agreements and other partnerships;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FDA or other regulatory agencies accepts data from any clinical trials of our product candidates conducted by Angel Pharmaceuticals in China;</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any new product candidates that we may develop, in-license or acquire;</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Angel Pharmaceuticals’ ability to develop and commercialize product candidates in China;</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such as rising inflation;</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hire and retain qualified personnel;</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partnering arrangements for development; and</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being a public company.</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Several of these factors are outside of our control and if we are unable to obtain funding on a timely basis, or at all, we will be unable to complete the clinical trials for soquelitinib, ciforadenant and mupadolimab and our other product candidates, and we may be required to significantly curtail some or all of our activities.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the Discovery and Development of Our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product candidates are in various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invested a significant portion of our efforts and financial resources in the development of our most advanced product candidates, soquelitinib, ciforadenant and mupadolimab. We have no products on the market and our ability to achieve and sustain profitability depends on obtaining regulatory approvals for and successfully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commercializing our product candidates, either alone or with third parties. Before obtaining regulatory approval for the commercial distribution of our product candidates, we or our collaborators must conduct extensive preclinical tests and clinical trials to demonstrate sufficient safety and efficacy of our product candidates in patients.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or inconclusive results from our clinical trials, the clinical trials of our collaborators, including Angel Pharmaceuticals, or the clinical trials of others for product candidates similar to ours, leading to a decision or requirement to conduct additional preclinical testing or clinical trials or abandon a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product-related side effects experienced by participants in our clinical trials, the clinical trials of our collaborators or by individuals using drugs or therapeutic biologics similar to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submitting Investigational New Drug Applications (“INDs”) or comparable foreign applications or delays or failure in obtaining the necessary approvals from regulators to commence a clinical trial, or a suspension or termination of a clinical trial once commenced;</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imposed by the FDA or comparable foreign authorities regarding the scope or design of our clinical trials;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enrolling research subjects in clinical trials;</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drop-out rates of research subjects;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inadequate supply or quality of product candidate components or materials or other supplies necessary for the conduct of our clinical trials or the clinical trials of our collaborators;</w:t>
            </w:r>
          </w:p>
        </w:tc>
      </w:tr>
    </w:tbl>
    <w:tbl>
      <w:tblPr>
        <w:tblW w:w="3996" w:type="dxa"/>
        <w:jc w:val="left"/>
        <w:tblInd w:w="0" w:type="dxa"/>
        <w:tblLayout w:type="fixed"/>
        <w:tblCellMar>
          <w:top w:w="28" w:type="dxa"/>
          <w:left w:w="28" w:type="dxa"/>
          <w:bottom w:w="28" w:type="dxa"/>
          <w:right w:w="28" w:type="dxa"/>
        </w:tblCellMar>
      </w:tblPr>
      <w:tblGrid>
        <w:gridCol w:w="124"/>
        <w:gridCol w:w="256"/>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anticipated clinical trial costs;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in the development, approval or certification of companion diagnostic tests for our product candidates;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FDA or other regulatory agency inspection and review of a clinical trial site;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our third-party contractors or investigators to comply with regulatory requirements or otherwise meet their contractual obligations in a timely manner,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and changes in regulatory requirements, policy and guidelines, including the imposition of additional regulatory oversight around clinical testing generally or with respect to our technology in particular; or</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interpretations of data by the FDA and similar foreign regulatory agencies.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could find that the product candidates we or our collaborators pursue are not safe or effective. Furthermore, if one or more of our product candidates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Of the large number of drugs in development in the pharmaceutical industry, only a small percentage result in the submission of a NDA or Biologics License Application (“BLA”) to the FDA or comparable marketing applications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to foreign regulatory authorities, and even fewer are approved for commercialization. Furthermore, even if we do receive regulatory approval to market soquelitinib, ciforadenant or mupadolimab, any such approval may be subject to limitations on the indicated uses for which we may market the product. Accordingly, even if we are able to obtain the requisite financing to continue to fund our development programs, we cannot assure our stockholders that soquelitinib, ciforadenant or mupadolimab will be successfully developed or commercialized. If we or any of our existing or potential future collaborators are unable to develop, or obtain regulatory approval for, or, if approved, successfully commercialize soquelitinib, ciforadenant or mupadolimab, we may not be able to generate sufficient revenue to continue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Clinical drug development involves a lengthy and expensive process with an uncertain outcome, and the results of preclinical studies and early clinical trials are not necessarily predictive of future results. Any product candidate we or any of our existing or potential future collaborators advance into clinical trials, including soquelitinib, ciforadenant and mupadolimab, may not have favorable results in later clinical trials, if any, or receive regulatory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our collaboration with Angel Pharmaceuticals, Angel Pharmaceuticals is responsible for the clinical development and commercialization, including all related expenses, of the licensed pipeline programs in greater China, and for the pre-clinical BTK program globally. Clinical trials conducted by Angel Pharmaceuticals will be subject to many of the same risks as our ongoing clinical programs.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cannot be certain that our ongoing or planned clinical trials or any other future clinical trials will be successful.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the FDA’s and other regulatory authorities’ policies with respect to clinical trials may change and additional government regulations may be enacted. For instance, the regulatory landscape related to clinical trials in the European Union (“EU”) has evolved. The EU Clinical Trials Regulation (“CTR”) which was adopted in April 2014 and repealed the EU Clinical Trials Directive, became applicable on January 31, 2022. While the EU Clinical Trials Directive required a separate CTA to be submitted in each member state in which the clinical trial takes place, to both the competent national health authority and an independent ethics committee, the CTR introduced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our collaborators and third-party service providers, such as contract research organizations (“CROs”), may impact our developments plans.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slow or unable to adapt to changes in existing requirements or the adoption of new requirements or policies governing clinical trials, our development plans may also be impacted.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Any termination or suspension of, or delays in the commencement or completion of, our planned clinical trials could result in increased costs to us, delay or limit our ability to generate revenue and adversely affect our commercial prospects.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Before we can initiate clinical trials in the United States or in foreign countries for any of our product and development candidates, we must submit the results of preclinical testing to the FDA or foreign regulatory authorities along with other information, including information about product candidate chemistry, manufacturing and controls and our proposed clinical trial protocol, as part of an IND or similar application. In addition, we may rely in part on preclinical, clinical and quality data generated by CROs and other third parties for regulatory submissions for our product candidates. If these third parties do not make timely regulatory submissions for our product candidates, it will delay our plans for our clinical trials. If those third parties do not make this data available to us, we will likely have to develop all necessary preclinical and clinical data on our own, which will lead to significant delays and increase development costs of the product candidate. In addition, the FDA or foreign regulatory authorities may require us to conduct additional preclinical testing for any product candidate before it allows us to initiate clinical testing under any IND or similar application, which may lead to additional delays and increase the costs of our preclinical development. Delays in the completion of our planned clinical trials for product candidates could significantly affect our product development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While we initiated several clinical trials, we do not know whether any of our other planned trials will begin on time in the future or whether any of our trials will be completed on schedule, if at all. The commencement and completion of clinical trials can be delayed for a number of reasons, including delays related to:</w:t>
      </w:r>
    </w:p>
    <w:tbl>
      <w:tblPr>
        <w:tblW w:w="9711" w:type="dxa"/>
        <w:jc w:val="left"/>
        <w:tblInd w:w="0" w:type="dxa"/>
        <w:tblLayout w:type="fixed"/>
        <w:tblCellMar>
          <w:top w:w="28" w:type="dxa"/>
          <w:left w:w="28" w:type="dxa"/>
          <w:bottom w:w="28" w:type="dxa"/>
          <w:right w:w="28" w:type="dxa"/>
        </w:tblCellMar>
      </w:tblPr>
      <w:tblGrid>
        <w:gridCol w:w="124"/>
        <w:gridCol w:w="256"/>
        <w:gridCol w:w="9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foreign regulatory authorities failing to grant permission to proceed or placing a clinical trial on hold;</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failing to enroll or remain in our trial at the rate we expect;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choosing an alternative treatment for the indication for which we are developing soquelitinib, ciforadenant and mupadolimab or other product candidates, or participating in competing clinical trials;</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continue the clinical trial;</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experiencing severe or unexpected drug-related adverse effects;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facility manufacturing soquelitinib, ciforadenant or mupadolimab, any of our other product candidates or any of their components being ordered by the FDA or other regulatory authorities to temporarily or permanently shut down due to violations of Good Manufacturing Practice (“GMP”) regulations or other applicable requirements, or infections or cross-contaminations of product candidates in the manufacturing process;</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manufacturing process that may be necessary or desired;</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delay in reaching an agreement with CROs and clinical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clinical investigators losing the licenses or permits necessary to perform our clinical trials, not performing our clinical trials on our anticipated schedule or consistent with the clinical trial protocol, Good Clinical Practice (“GCP”) or regulatory requirements or other third parties not performing data collection or analysis in a timely or accurate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Institutional Review Boards (“IRBs”) or other reviewing bodies refusing to approve, suspending or terminating the trial at an investigational site, precluding enrollment of additional subjects, or withdrawing its approval of the trial; or</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failing to complete a trial or return for post-treatment follow-up.</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could also encounter delays if a clinical trial is suspended or terminated by us, by the IRBs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or other reviewing bodies for reexamination, which may impact the costs, timing or successful completion of a clinical trial.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or adversely affected. In addition, any delays in completing our clinical trials will increase our costs, slow down our product candidate development and approval process and jeopardize our ability to commence product sales and generate revenues. See also the risk factor below titled “</w:t>
      </w:r>
      <w:r>
        <w:rPr>
          <w:rFonts w:ascii="Times New Roman;Times;serif" w:hAnsi="Times New Roman;Times;serif"/>
          <w:i/>
          <w:sz w:val="20"/>
        </w:rPr>
        <w:t>If we encounter difficulties enrolling subjects in our clinical trials, our clinical development activities could be delayed or otherwise adversely affected</w:t>
      </w:r>
      <w:r>
        <w:rPr>
          <w:rFonts w:ascii="Times New Roman;Times;serif" w:hAnsi="Times New Roman;Times;serif"/>
          <w:sz w:val="20"/>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soquelitinib, ciforadenant and mupadolimab or other product candidates could be significantly reduced. Any of these occurrences may harm our business, financial condition and prospects significantly.</w:t>
      </w:r>
    </w:p>
    <w:p>
      <w:pPr>
        <w:pStyle w:val="TextBody"/>
        <w:bidi w:val="0"/>
        <w:spacing w:lineRule="auto" w:line="285"/>
        <w:ind w:left="0" w:right="0" w:hanging="0"/>
        <w:jc w:val="left"/>
        <w:rPr>
          <w:rFonts w:ascii="Times New Roman;Times;serif" w:hAnsi="Times New Roman;Times;serif"/>
          <w:b/>
          <w:i/>
          <w:sz w:val="20"/>
        </w:rPr>
      </w:pPr>
      <w:r>
        <w:rPr>
          <w:rFonts w:ascii="Times New Roman;Times;serif" w:hAnsi="Times New Roman;Times;serif"/>
          <w:b/>
          <w:i/>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has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lineRule="auto" w:line="285" w:before="120" w:after="0"/>
        <w:ind w:left="0" w:right="0" w:firstLine="720"/>
        <w:jc w:val="left"/>
        <w:rPr>
          <w:rFonts w:ascii="Times New Roman;Times;serif" w:hAnsi="Times New Roman;Times;serif"/>
          <w:sz w:val="20"/>
        </w:rPr>
      </w:pPr>
      <w:r>
        <w:rPr>
          <w:rFonts w:ascii="Times New Roman;Times;serif" w:hAnsi="Times New Roman;Times;serif"/>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interim data and final data could significantly harm our business prospects. Further, disclosure of interim data by us or by our competitors could result in volatility in the price of our common stock.</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product candidates are subject to extensive regulation, compliance with which is costly and time consuming, and such regulation may cause unanticipated delays or prevent the receipt of the required approvals to commercialize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clinical development, manufacturing, labeling, storage, record-keeping, advertising, promotion, import, export, marketing and distribution of our product candidates are subject to extensive regulation by the FDA in the United States and by comparable authorities in foreign markets. In the United States, we are not permitted to market our product candidates until we receive regulatory approval from the FDA. The process of obtaining regulatory approval is expensive, often takes many years and can vary substantially based upon the type, complexity and novelty of the product candidates involved, as well as the target indications and patient population. Approval policies or regulations may change, and the FDA and comparable authorities have substantial discretion in the drug approval process, including the ability to delay, limit or deny approval of a product candidate for many reasons. Despite the time and expense invested in clinical development of product candidates, regulatory approval is never guaranteed.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FDA or comparable foreign regulatory authorities, including in China, can delay, limit or deny approval of a product candidate for many reasons,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disagree with the design or implementation of our or any of our existing or potential future collaborators’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of our existing or potential future collaborators may be unable to demonstrate to the satisfaction of the FDA or other regulatory authorities that a product candidate is safe, pure, potent or effective for any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not accept clinical data from trials which are conducted at clinical facilities or in countries where the standard of care is potentially different from that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of our existing or potential future collaborators may be unable to demonstrate that a product candidate’s clinical and other benefits outweigh its safety risks;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may be granted only for indications that are significantly more limited than what we apply for and/or with other significant restrictions on distribution and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find deficiencies in the manufacturing processes or facilities of third-party manufacturers with which we or any of our existing or potential future collaborators contract for clinical and commercial supplies; or</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such authorities may significantly change in a manner rendering our or any of our existing or potential future collaborators’ clinical data insufficient for approval.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and comparable foreign regulatory authorities, including in China, in reviewing new drugs based on safety, efficacy or other regulatory considerations and may result in significant delays in obtaining regulatory approvals. Any delay in obtaining, or inability to obtain, applicable regulatory approvals would prevent us or any of our existing or potential future collaborators from commercializing our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conducting and plan to conduct clinical trials for soquelitinib, ciforadenant and mupadolimab, and we and Angel Pharmaceuticals may in the future conduct additional clinical trials of product candidates at sites outside the United States, and the FDA may not accept data from trials conducted in foreign locations.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We are conducting oncology clinical trials with soquelitinib in North America, Australia and South Korea and with ciforadenant in North America in collaboration with the Kidney Cancer Research Consortium. In addition, Angel Pharmaceuticals has initiated clinical trials in China for soquelitinib and mupadolimab and plans to initiate a clinical trial for ciforadenant.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trials were not subject to an IND,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such foreign regulatory authority does not accept the data from our or Angel Pharmaceuticals’ clinical trials for soquelitinib, ciforadenant or mupadolimab, or any other product candidates, it would likely result in the need for additional trials, which would be costly and time-consuming and delay or permanently halt our development of soquelitinib, ciforadenant or mupadolimab or any other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encounter difficulties enrolling subjects in our clinical trials, our clinical development activities could be delayed or otherwise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Subject enrollment, a significant factor in the timing of clinical trials, is affected by many factors including the size and nature of the patient population, the proximity of patients to clinical sites, the eligibility criteria for the trial, the design of the clinical trial, the risk that enrolled patients will not complete a clinical trial, our ability to recruit clinical trial investigators with the appropriate competencies and experience, competing clinical trials and clinicians’ and patients’ perceptions as to the potential advantages of the product candidate being studied in relation to other available therapies, including any new drugs that may be approved for the indications we are investigating. We will be required to identify and enroll a sufficient number of subjects for each of our clinical trials. Potential subjects for any planned clinical trials may not be adequately diagnosed or identified with the diseases which we are targeting or may not meet the entry criteria for our studies. We also may encounter difficulties in identifying and enrolling subjects with a stage of disease appropriate for our planned clinical trials. We may not be able to initiate or continue clinical trials if we are unable to locate a sufficient number of eligible subjects to participate in the clinical trials required by the FDA or other foreign regulatory agencies. In addition, the process of finding and diagnosing subjects may prove costly.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patients are unwilling to participate in our studies for any reason, including the existence of competitive clinical trials for similar patient populations, the availability of approved therapies or negative perceptions of the safety or efficacy of our product candidates, the timeline for recruiting subjects, conducting studies and obtaining regulatory approval of our product candidates may be delayed. Our inability to enroll a sufficient number of subjects for any of our future clinical trials would result in significant delays or may require us to abandon one or more clinical trials altogether.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believe we have appropriately considered the above factors in our trials when determining expected clinical trial timelines, but we cannot assure our stockholders that our assumptions are correct or that we will not experience delays in enrollment, which would result in the delay of completion of such trials beyond our expected timelines.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occurrence of serious complications or side effects in connection with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new indications, which could severely harm our business, prospects, results of operations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programs with different dosing regimens and in combination with other immunotherapies, or as use of these product candidates becomes more widespread if they receive regulatory approval, illnesses, injuries, discomforts and other adverse events that were observed in earlier trials, as well as conditions that did not occur or went undetected in previous trials, will be reported by subjects.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Side effects are often only detectable after investigational products are tested in large-scale, Phase 3 clinical trials or, in some cases, after they are made available to patients on a commercial scale after approval. Results of our current clinical trials and any future clinical trials we undertake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if one or more of our product candidates receives marketing approval, and we or others later identify undesirable side effects caused by such products, a number of potentially significant negative consequences could result, including:</w:t>
      </w:r>
    </w:p>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approvals of such product;</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A Fast Track designation from the FDA, even if granted for any of our product candidates, may not lead to a faster development or regulatory review or approval process, and does not increase the likelihood that our product candidates will receive regulatory approval.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July 29, 2024, the FDA granted Fast Track designation for soquelitinib for the treatment of adult patients with relapsed or refractory peripheral T-cell lymphoma after at least two lines of systemic therapy. Depending on the data from our preclinical and clinical studies, we may decide to seek additional Fast Track designations for some or all of our other product candidates. The Fast Track program is intended to expedite or facilitate the process for reviewing product candidates that meet certain criteria. Specifically, drugs and biologics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or NDA is submitted, the application may be eligible for priority review. An NDA or BLA submitted for a Fast Track product candidate may also be eligible for rolling review, where the FDA may consider for review sections of the application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application.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FDA has broad discretion whether or not to grant this designation. Even if we believe a particular product candidate is eligible for this designation, we cannot assure you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soquelitinib or any other product candidate that may be granted Fast Track designation will receive regulatory approval in the U.S. Many product candidates that have received Fast Track designation have ultimately failed to obtain approval.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our efforts to identify or discover additional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success of our business depends primarily upon our ability to develop and commercialize soquelitinib, ciforadenant and mupadolimab. Although soquelitinib, ciforadenant and mupadolimab are currently in clinical development, our research programs may fail to identify other potential product candidates, or advance them into and through clinical development for a number of reasons. Our research methodology may be unsuccessful in identifying other potential product candidates or our other potential product candidates may be shown to have harmful side effects or may have other characteristics that may make the products unmarketable or unlikely to receive marketing approval. It may also take greater human and financial resources to identify additional therapeutic opportunities for our product candidates or to develop suitable potential product candidates through our research programs than we will possess, thereby limiting our ability to diversify and expand our product candidate portfolio.</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rely, and expect to continue to rely, on third parties to conduct our clinical trials. If these third parties do not meet our deadlines or otherwise conduct the trials as required, our clinical development programs could be delayed or unsuccessful and we may not be able to obtain regulatory approval for or commercialize our product candidates when expected, or at all.</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do not have the ability to conduct all aspects of our preclinical testing or clinical trials ourselves. As a result, we are dependent on third parties to conduct our ongoing and planned clinical trials for soquelitinib, ciforadenant and mupadolimab and expect to continue to be dependent on third parties to conduct any additional future clinical trials of soquelitinib, ciforadenant and mupadolimab and preclinical and clinical trials for our other product candidates. The timing of the initiation and completion of these trials will therefore be controlled by such third parties and may occur at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times substantially different from our estimates. Specifically, we use and rely on medical institutions, clinical investigators, CROs and consultants to conduct our trials in accordance with our clinical protocols and regulatory requirements. Such CROs, investigators and other third parties play a significant role in the conduct of these trials and subsequent collection and analysis of data, and we will control only certain aspects of their activities. Nevertheless, we are responsible for ensuring that each of our studies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the competent authorities of the EU member states and comparable foreign regulatory authorities for all of our product candidates in clinical development.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or similar regulations. Our failure to comply with these regulations may require us to repeat clinical trials, which would delay the regulatory approval process.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is no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BLA or other applications we submit to the FDA or foreign regulatory authorities. Any such delay or rejection could prevent us from commercializing soquelitinib, ciforadenant and mupadolimab or our other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conduct some or all aspects of our manufacturing, research and preclinical and clinical testing, and these third parties may not perform satisfactorily.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expect to independently conduct all aspects of our manufacturing, research and preclinical and clinical testing. We currently rely, and expect to continue to rely, on third parties with respect to these items. If these third parties do not successfully carry out their contractual duties, meet expected deadlines or conduct our studies in accordance with regulatory requirements or our stated study plans and protocols, we may not be able to complete, or may be delayed in completing, the preclinical and clinical studies required to support future IND or other submissions and approval of our product candidates. Furthermore, any of these third parties may terminate its engagement with us at any time. If we need to enter into alternative arrangements, it could delay our product development activities, and we may not be able to negotiate alternative arrangements on commercially reasonable terms, or at all.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and our contract manufacturers are subject to significant regulation with respect to manufacturing our products and the contract manufacturers on which we rely may not continue to meet regulatory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currently have nor do we plan to acquire the infrastructure or internal capability to manufacture our clinical drug supplies for use in the conduct of our trials, and we lack the resources and the capability to manufacture any of our product candidates on a clinical or commercial scale. We currently rely on several different manufacturers who supply different parts of the ciforadenant and soquelitinib molecules, on one manufacturer for mupadolimab drug substance and on other third-party manufacturers to produce our other product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an NDA or BLA on a timely basis and must adhere to the FDA’s Good Laboratory Practice regulations and cGMP regulations enforced by the FDA through its facilities inspection program. Our facilities and quality systems and the facilities and quality systems of some or all of our third-party contractors must successfully complete a pre-approval inspection for compliance with the applicable regulations as a condition of regulatory approval of our product candidates or any of our other potential products. In addition, the regulatory authorities may, at any time, audit or inspect our manufacturing facilities or those of our third-party contractors involved with the preparation of our product candidates or the associated quality systems for compliance with the regulations applicable to the activities being conducted. We do not control the manufacturing process of, and are completely dependent on, our contract manufacturing partners for compliance with cGMPs. Similar requirements must be complied with in foreign jurisdictions.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Such violations could also result in civil and/or criminal penalties, and the FDA or foreign regulatory authorities may impose regulatory sanctions including, among other things, refusal to approve a pending application for a new drug product or biologic product, revocation of a pre-existing approval or closing one or more manufacturing facilities.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if supply from an approved manufacturer is interrupted, there could be a significant disruption in commercial supply. An alternative manufacturer would need to be qualified through an NDA or BLA supplement which could result in further delay. The regulatory agencies may also require additional studies if a new manufacturer is relied upon for commercial production. Changing manufacturers may involve substantial costs and is likely to result in a delay in our desired clinical and commercial timelines.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or our third-party manufacturers, may be unable to successfully scale-up manufacturing of our product candidates in sufficient quality and quantity, which would delay or prevent us from developing our product candidates and commercializing approved products, if 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order to conduct clinical trials of our product candidates, we will need to manufacture them in large quantities. We, or any manufacturing partners, may be unable to successfully increase the manufacturing capacity for any of our product candidates in a timely or cost-effective manner, or at all. In addition, quality issues may arise during scale-up activities. If we or any manufacturing partners are unable to successfully scale up the manufacture of our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the supply chain for the manufacturing of our product candidates is complicated and can involve several parties. If we were to experience any supply chain issues, our product supply could be seriously disrupted. We expect that the logistical challenges associated with our supply chain will grow more complex as we expand enrollment in our clinical trials for soquelitinib, ciforadenant and mupadolimab and as we commence any clinical trials for additional product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Because we rely on third parties to research and develop and to manufacture our product candidates, we must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likely expect to be granted rights to publish data arising out of such collaboration.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Commercialization of Our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commercialize our product candidates or if we experience significant delays in obtaining regulatory approval for, or commercializing, any or all of our product candidates, our business will be materially and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ability to generate product revenue will depend heavily on our ability to successfully develop and commercialize our product candidates. We do not expect that such commercialization of any of our product candidates will occur for at least the next few years, if ever. Our ability to commercialize our product candidates effectively will depend on several factors,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of preclinical studies and clinical trials, including the ability to demonstrate safety and efficacy of our product candidates;</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complexity of our clinical trial designs;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the FDA and similar foreign regulatory authorities;</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commercial manufacturing capabilities by making arrangements with third-party manufacturers;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launching commercial sales of any approved products, whether alone or in collaboration with others;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any approved products by patients, the medical community and third-party payors;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market share while competing with other therapies;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continued acceptable safety profile of any approved products;</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compliance with post-approval regulation and other requirements;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qualifying for, identifying, registering, maintaining, enforcing and defending intellectual property rights and claims covering our product candidates.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significant delays or an inability to commercialize our product candidates, our business, financial condition and results of operations will be materially adversely affected.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do not achieve our projected development goals in the time frames we announce and expect, the commercialization of our products may be delayed and, as a result, our stock price may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will be based on a variety of assumptions, and the actual timing of these milestones can vary dramatically compared to our estimates, in some cases for reasons beyond our control. If we do not meet these milestones as publicly announced, the commercialization of our products may be delayed and, as a result, our stock price may decline.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Any approved products could be subject to restrictions or withdrawal from the market, and we may be subject to penalties if we fail to comply with regulatory requirements or if we experience unanticipated problems with our product candidates, when and if any of them are approved.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Following potential approval of any of our product candidates, the FDA or foreign regulatory authorities may impose significant restrictions on a product’s indicated uses or marketing or impose ongoing requirements for potentially costly and time consuming post-approval studies, post-market surveillance or clinical trials. Following approval, if any, of soquelitinib, ciforadenant and mupadolimab or any other product candidate, such candidate will also be subject to ongoing FDA or foreign regulatory authorities’ requirements governing the labeling, packaging, storage, distribution, safety surveillance, advertising, promotion, recordkeeping and reporting of safety and other post-market information. If we or a regulatory agency discovers previously unknown problems with a product, such as adverse events of unanticipated severity or frequency, or problems with the facility where the product is manufactured, a regulatory agency may impose restrictions on that product, the manufacturing facility or us, including requesting recall or withdrawal of the product from the market or suspension of manufacturing.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or the manufacturing facilities for soquelitinib, ciforadenant and mupadolimab or any other product candidate that may receive regulatory approval, if any, fail to comply with applicable regulatory requirements, a regulatory agency may:</w:t>
      </w:r>
    </w:p>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warning letters or untitled letters;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an injunction or impose civil or criminal penalties or monetary fines;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withdraw regulatory approval;</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any ongoing clinical trials;</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approve pending applications or supplements or applications filed by us;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impose restrictions on operations, including costly new manufacturing requirements; or</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seize or detain products, refuse to permit the import or export of product or request that we initiate a product recall.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occurrence of any event or penalty described above may inhibit our ability to commercialize our product candidates and generate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FDA has the authority to require a risk evaluation and mitigation strategy (“REMS”) as part of an NDA or BLA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Similar risks exist in foreign jurisdictions.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if soquelitinib, ciforadenant and mupadolimab or any of our other product candidates is approved, our product labeling, advertising and promotion will be subject to regulatory requirements and continuing regulatory review. The FDA and foreign regulatory authorities strictly regulate the promotional claims that may be made about prescription products. In particular, a product may not be promoted for uses that are not approved by the FDA or foreign regulatory authorities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the FDA’s and other regulatory authorities’ policies may change and additional government regulations may be enacted that could prevent, limit or delay regulatory approval of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Disruptions at the FDA and other government agencies caused by funding shortages, staff reductions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ability of the FDA and foreign regulatory authorities to review and/or approve new products can be affected by a variety of factors, including government budget and funding levels, staff reductions,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Disruptions at the FDA and other agencies may also slow the time necessary for new drugs and biologics or modifications to approved drugs or biologics to be reviewed and/or approved by necessary government agencies, which would adversely affect our business. For example, in recent years, the U.S. government has shut down several times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a prolonged government shutdown occurs, or if funding shortages, staffing reductions or policy changes prevent the FDA or other regulatory authorities from conducting their regular inspections, reviews, or other regulatory activities, such events could significantly impact the ability of the FDA or other regulatory authorities to timely review and process our regulatory submissions, which could have a material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Even if we receive regulatory approval we still may not be able to successfully commercialize soquelitinib, ciforadenant and mupadolimab or any other product candidate, and the revenue that we generate from sales, if any, could be limited.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soquelitinib, ciforadenant and mupadolimab or any of our other product candidates receive regulatory approval, they may not gain market acceptance among physicians, patients, healthcare payors or the medical community. The degree of market acceptance of our product candidates will depend on a number of factors, including:</w:t>
      </w:r>
    </w:p>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of clinical efficacy and safety compared to other more-established products;</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indications for which our product candidates are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our targeted patient population and other limitations or warnings contained in any FDA-approved labeling;</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 new formulation by healthcare providers and their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sufficient third-party coverage and reimbursement from government healthcare programs, including Medicare and Medicaid, private health insurers and other third-party payors;</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patients to pay out-of-pocket in the absence of third-party coverage and reimbursement;</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adverse effects;</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cost-effectiveness;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market introduction of our product candidates as well as competitive drugs;</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or any of our existing or potential future collaborators’ sales and marketing strategies; and</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publicity relating to the product candidate.</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any product candidate is approved but does not achieve an adequate level of acceptance by physicians, hospitals, healthcare payors or patients, we may not generate sufficient revenue from that product candidate and may not become or remain profitable. Our efforts to educate the medical community and third-party payors regarding the benefits of soquelitinib, ciforadenant and mupadolimab or any of our other product candidates may require significant resources and may never be successful.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obtain or maintain adequate coverage and reimbursement for our product candidates, if approved, could limit our ability to market those products and decrease our ability to generate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Successful commercial sales of any approved products will depend on the availability of adequate coverage and reimbursement from government health administration authorities, private health insurers and other third-party payors. Each third-party payor separately decides which products it will cover and establishes the reimbursement level, and there is no guarantee that any of our product candidates that may be approved for marketing by regulatory authorities will receive adequate coverage or reimbursement levels. Obtaining and maintaining coverage approval for a product candidate is time-consuming, costly and may be difficult. We may be required to conduct expensive pharmacoeconomic studies to justify coverage and reimbursement or the level of coverage and reimbursement relative to other therapies. If coverage and adequate reimbursement are not available or limited, we may not be able to successfully commercialize any product candidate for which we obtain marketing approval.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and biologics. Even if we obtain coverage for a given product, the resulting reimbursement rates may be inadequate and may affect the demand for, or the price of, any product candidate for which we obtain marketing approval.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enacted legislation, future legislation and healthcare reform measures may increase the difficulty and cost for us to obtain marketing approval for and commercialize our product candidates and affect the prices we may obtain.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biologics and affect our ability to profitably sell any product candidates for which we obtain marketing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example, in March 2010, the Patient Protection and Affordable Care Act, as amended by the Health Care and Education Reconciliation Act (collectively referred to as the “ACA”), was enacted with a goal of reducing the cost of healthcare and substantially changing the way healthcare is financed by both governmental and private insurers.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extended the rebate program to individuals enrolled in Medicaid managed care organizations; established annual fees and taxes on manufacturers of certain prescription drugs; and established a new Patient-Centered Outcomes Research Institute to oversee, identify priorities and conduct comparative clinical effectiveness research, along with funding for such research.</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Other legislative changes have been proposed and adopted in the U.S. since the ACA was enacted. On March 11, 2021, the American Rescue Plan Act of 2021 was signed into law, which eliminated the statutory Medicaid drug rebate cap, beginning January 1, 2024. The rebate was previously capped at 100% of a drug’s average manufacturer price (“AMP”). On August 16, 2022, the Inflation Reduction Act of 2022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HHS has issued and will continue to issue guidance implementing the IRA. CMS has published the negotiated prices for the initial ten drugs, which went into effect in 2026, and the subsequent 15 drugs, which will first be effective in 2027, as well as the next set of 15 drugs that will be subject to negotiation, although the Medicare drug price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negotiation program is currently subject to legal challenges. While the impact of the IRA on the pharmaceutical industry cannot yet be fully determined, it is likely to be significant.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may commercialize.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entered into confidential pricing agreements with the federal government. In April 2026, the Trump administration issued a proclamation imposing tariffs on imports of patented pharmaceuticals, biologics and associated ingredients into the U.S., beginning July 31, 2026. Any manufacturers that entered into a company-specific agreement with the government prior to the proclamation will not be subject to any additional tariffs until January 20, 2029.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proposals or executive actions that are ultimately deemed unlawful could negatively impact the U.S. pharmaceutical sector and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Additionally,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 Further, EU pharmaceutical legislation is currently undergoing a complete review process, with proposed revisions not expected to become applicable prior to the end of 2027. These revisions may have a significant impact on the pharmaceutical industry and our business in the long term.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Any product candidates for which we intend to seek approval as biologic products may face competition sooner than anticipated.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Mupadolimab, which we evaluated in a Phase 1/1b oncology clinical trial is regulated by the FDA as a biological product. We believe that mupadolimab and any of our future product candidates, if approved as a biological product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Jurisdictions in addition to the United States have established abbreviated pathways for regulatory approval of biological products that are biosimilar to earlier approved reference products. For example, the EU has had an established regulatory pathway for biosimilars since 2006. Moreover, the extent to which a biosimilar, once approved, could be substituted for any one of our reference products in a way that is similar to traditional generic substitution for non-biological products will depend on a number of marketplace factors.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fail to obtain orphan drug designations from the FDA for our product candidates, and even if we obtain such designations, we may be unable to maintain the benefits associated with orphan drug designation, including the potential for market exclusivity.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Orphan Drug Act, the FDA may grant orphan drug designation to a drug or 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orphan drug exclusivity, which means that the FDA may not approve any other applications, including a full NDA or BLA, to market the same drug or biologic for the same approved indication or use within such disease or condition for seven years, except in limited circumstances, such as a showing of clinical superiority to the product with orphan drug exclusivity in the relevant indication or where the manufacturer is unable to assure sufficient product quantity to meet the needs relating to the approved indication or use of patients with the relevant disease or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February 7, 2024, the FDA granted orphan drug designation for soquelitinib for the treatment of T cell lymphoma. We also believe many of the targeted indications of our other product candidates could qualify for orphan drug designation. As a result, we may seek to obtain additional orphan drug designations in the future. Even if we obtain such designations, we may not be the first to obtain marketing approval of our product candidate for the orphan-designated disease or condition due to the uncertainties associated with developing pharmaceutical products. In addition, exclusive marketing rights in the United States may be limited if we seek approval for a disease or condition broader than the orphan-designated disease or condition or may be lost if the FDA later determines that the request for designation was materially defective or if the manufacturer is unable to assure sufficient quantities of the product to meet the needs relating to the approved indication or use of patients with the rare disease or condition. Further, even if we obtain orphan drug exclusivity for a product, that exclusivity may not effectively protect the product from competition because different drugs can be approved for the same indications and uses. Even after an orphan product is approved, the FDA can subsequently approve the “same drug,” as defined by the FDA, for the same indication or use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other product candidates, we may never receive such designations.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expend our limited resources to pursue a particular product candidate and fail to capitalize on product candidates that may be more profitable or for which there is a greater likelihood of success.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Because we have limited financial and managerial resources, we are currently focusing on soquelitinib and ciforadenant. As a result, we may forgo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form additional strategic alliances and collaborative partnerships in the future, and we may not realize the benefits of such alliances.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form strategic alliances, create joint ventures or collaborations or enter into licensing arrangements with third parties that we believe will complement or augment our existing business, including for the continued development or commercialization of our product candidates. These relationships may result in or include non-recurring and other charges, increased near- and long-term expenditures, the issuance of securities that dilute our existing stockholders or disruptions to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third parties may view the risk of failure in future clinical trials as too significant or the commercial opportunity for our product candidates as too limited. We cannot be certain that, following a strategic transaction or license, we will achieve the revenue or specific net income that justifies such transaction.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Even if we are successful in our efforts to establish strategic alliances or collaborative partnerships, the terms that we agree upon may not be favorable to us, and we may not be able to maintain such strategic alliances or collaborative partnerships if, for example, development or approval of a product candidate is delayed, the safety of a product candidate is questioned or sales of an approved product candidate are unsatisfactory. In addition, any existing 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potential future strategic alliances or collaborative partnerships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strategic alliances or collaborative partnerships we enter into in the future, or any delay in entering into collaborative partnership agreements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October 2020, we formed Angel Pharmaceuticals with a group of investors in China to create a new China-based biopharmaceutical company with a mission to bring innovative quality medicines to Chinese patients for treatment of serious diseases including cancer, autoimmune diseases and infectious diseases. We granted Angel Pharmaceuticals a license to rights to develop and commercialize our three clinical-stage candidates – soquelitinib, ciforadenant and mupadolimab – in greater China and obtained global rights to our BTK inhibitor preclinical programs. While certain of our executive officers and directors will initially be on the board of directors of Angel Pharmaceuticals, we have limited control over it and so we will be subject to many of the same risks set forth above with respect to all collaborations. Additionally, any actions taken by the Chinese government to implement trade policy changes, financial restrictions, or increased regulatory scrutiny on U.S. companies could negatively impact Angel Pharmaceuticals. For instance, China has previously taken or threatened to take trade and other actions in retaliation against U.S. policies, and is likely to continue to do so. Past or future developments in this regard may have a material adverse effect on the economies, financial markets, and currency exchange rates in China and the United States. Tensions between the United States and China have increased over the past few years as a result of disputes in areas including trade policy, intellectual property, cybersecurity and data privacy, due to the current U.S. Presidential Administration’s imposition of tariffs and other trade controls, as well as due to geopolitical conflicts such as the war between Ukraine and Russia and conflicts or tensions in the Middle East and Venezuela. Our interests in Angel Pharmaceuticals could be harmed if relations between the United States and China worsen or if either government imposes additional policies, tariffs or sanctions and our business could encounter increased regulatory scrutiny in China, as well as adverse media or public attention in China, as a result of the deteriorating bilateral relationship.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Angel Pharmaceuticals will also be subject to many of the same risks that are set forth in this “Risk Factors” section pertaining to operations, government regulation, and intellectual property, which may adversely affect Angel Pharmaceuticals’ ability to develop and commercialize products.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face competition from entities that have developed or may develop product candidates for cancer and immune diseases,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attempt to develop product candidates. In particular, there is intense and rapidly evolving competition in the immunology therapeutics field. Our competitors include larger and better funded pharmaceutical, biopharmaceutical, biotechnological and therapeutics companies. Moreover, we also compete with universities and other research institutions that may be active in oncology research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registering subjects for clinical trials and in identifying and in-licensing new product candidates. Smaller or early-stage companies may also prove to be significant competitors, particularly through collaborative arrangements with large and established companies.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oncology, there are large pharmaceutical companies with approved products or products in late-stage development that target kinases and immune checkpoints. There is also intense competition in the areas of inflammation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and autoimmune diseases. Several drugs and biologics have been approved or are in late stage development for treatment of atopic dermatitis and other inflammatory diseases.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 opportunities for our product candidates may be limited to those patients who are ineligible for or have failed prior treatments and may be small.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Cancer therapies are sometimes characterized as first-line, second-line or third-line, which refers to the number of prior therapies required to be used prior to administration of the relevant therapy, and the FDA commonly approves new therapies initially for later-line uses. When cancer is detected early enough, first line therapy is sometimes adequate to cure the cancer or prolong life without a cure. Whenever first-line therapy, usually chemotherapy, hormone therapy, surgery or a combination of these, proves unsuccessful, second-line therapy may be administered. Second-line therapies often consist of more chemotherapy, radiation, antibody drugs, tumor targeted small molecules or a combination of these. Third-line therapies can include bone marrow transplantation, antibody and small molecule targeted therapies, more invasive forms of surgery and new technologies. In markets with approved therapies, we expect to initially seek approval of our product candidates as a later stage therapy for patients who have failed other approved treatments. Subsequently, for those drugs that prove to be sufficiently beneficial, if any, we would expect to seek approval as a second-line therapy and potentially as a first-line therapy, but there is no guarantee that our product candidates, even if approved, would be approved for second-line or first-line therapy. In addition, we may have to conduct additional clinical trials prior to gaining approval for second-line or first-line therapy. Similarly, products to treat immune diseases may be indicated for early stage or more advanced recurrent diseases. In dermatology, treatments may be administered by topical or systemic routes. Our products may require additional clinical trials to gain approval for these additional indications.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projections of both the number of people who have the cancers and immune diseases that we are targeting,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diseases. The number of patients may turn out to be lower than expected. In addition, the potentially addressable patient population for our product candidates may be limited or may not be amenable to treatment with our product candidates. Even if we obtain significant market share for our product candidates, we may never achieve profitability without obtaining regulatory approval for additional indications, including use as a first or second-line therapy.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have no sales, marketing or distribution capabilities, and we may have to invest significant resources to develop these capabilities.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no internal sales, marketing or distribution capabilities. If soquelitinib, ciforadenant and mupadolimab or any of our other product candidates ultimately receives regulatory approval, we may not be able to effectively market and distribute the product candidate. We may have to seek collaborators or invest significant amounts of financial and management resources to develop internal sales, distribution and marketing capabilities, some of which will be committed prior to any confirmation that soquelitinib, ciforadenant and mupadolimab or any of our other product candidates will be approved, if at all. We may not be able to enter into collaborations or hire consultants or external service providers to assist us in sales, marketing and distribution functions on acceptable financial terms or at all. Even if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we determine to perform sales, marketing and distribution functions ourselves, we could face a number of additional related risks, including:</w:t>
      </w:r>
    </w:p>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attract and build an effective marketing department or sales force;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establishing a marketing department or sales force may exceed our available financial resources and the revenue generated by soquelitinib, ciforadenant and mupadolimab or any other product candidates that we may develop, in-license or acquire; and</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 sales and marketing efforts may not be successful.</w:t>
            </w:r>
          </w:p>
        </w:tc>
      </w:tr>
    </w:tbl>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Governments may impose price controls, which may adversely affect our future profitability.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intend to seek approval to market our product candidates in both the United States and in foreign jurisdictions. In some foreign countries, particularly in the EU, the pricing of prescription pharmaceuticals is subject to governmental control. In these countries, pricing negotiations with governmental authorities can take considerable time after the receipt of marketing approval for a product candidate. To obtain reimbursement or pricing approval in some countries, we may be required to conduct clinical trials to compare the cost-effectiveness of our product candidates to other available therapies, which is time-consuming and costly. If reimbursement of our future products is unavailable or limited in scope or amount, or if pricing is set at unsatisfactory levels, we may be unable to achieve or sustain profitability.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results of operations may fluctuate significantly, which makes our future results of operations difficult to predict and could cause our results of operations to fall below expectations or any guidance we may provide.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quarterly and annual results of operations may fluctuate significantly, which makes it difficult for us to predict our future results of operations. These fluctuations may occur due to a variety of factors, many of which are outside of our control,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cost of, and level of investment in, research, development and commercialization activities relating to our product candidates, which may change from time to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and reimbursement policies with respect to our product candidates, if approved, and potential future drugs that compete with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manufacturing our product candidates, which may vary depending on the quantity of production and the terms of our agreements with manufacturers;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we may incur to acquire, develop or commercialize additional product candidates and technologies;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any approved products (if any), which may vary significantly;</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such as increased interest and inflationary pressures;</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accounting pronouncements or changes in our accounting policies;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or failure of clinical trials for our product candidates or competing product candidates, or any other change in the competitive landscape of our industry, including consolidation among our competitors or partners.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cumulative effects of these factors could result in large fluctuations and unpredictability in our quarterly and annual results of operations. As a result, comparing our results of operations on a period-to-period basis may not be meaningful. Investors should not rely on our past results as an indication of our future performance.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dependent on the services of our President and Chief Executive Officer, Richard A. Miller, M.D., and other key executives, and if we are not able to retain these members of our management or recruit additional management, clinical and scientific personnel, our business will suffer.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dependent on the principal members of our management and scientific staff. The loss of service of any of our management could harm our business. In addition, we are dependent on our continued ability to attract, retain and motivate highly qualified management, clinical and scientific personnel. If we are not able to retain our management, particularly our President and Chief Executive Officer, Dr. Miller, and to attract, on acceptable terms, additional qualified personnel necessary for the continued development of our business, we may not be able to sustain our operations or grow. Although we have executed employment agreements with each member of our current executive management team, including Dr. Miller, these agreements are terminable at will with or without notice and, therefore, we may not be able to retain their services as expected.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will need to expand and effectively manage our managerial, operational, financial and other resources in order to successfully pursue our clinical development and commercialization efforts. We may not be able to attract or retain qualified management and scientific and clinical personnel in the future due to the intense competition for qualified personnel among pharmaceutical, biotechnology and other businesses, particularly in the San Francisco Bay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do not currently maintain “key person” life insurance on the lives of our executives or any of our employees. This lack of insurance means that we may not have adequate compensation for the loss of the services of these individuals.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encounter difficulties in managing our growth and expanding our operations successfully.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will need to grow our organization substantially to continue development and pursue the potential commercialization of soquelitinib, ciforadenant and mupadolimab and our other product candidates. As we seek to advance soquelitinib, ciforadenant and mupadolimab and other product candidates, we will need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commercialize our product candidates and to compete effectively will depend, in part, on our ability to manage any future growth effectively.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various federal and state healthcare laws and regulations, and our failure to comply with these laws and regulations could harm our results of operations and financial condition.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Although we do not currently have any products on the market, if we obtain FDA or foreign approval for any of our product candidates and begin commercializing those products in the United States or abroad, our operations may be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directly, or indirectly through our customers and third-party payors, subject to various U.S. federal, state and foreign healthcare laws and regulations. These laws will affect our operations, sales and marketing practices, and our relationships with physicians and other customers and third-party payors. Such laws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or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(“HIPAA”), which imposes criminal and civil liability for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 Sunshine Act, which requires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and requires applicable manufacturers and group purchasing organizations to report annually to the government ownership and investment interests held by the physicians described above and their immediate family members. Manufacturers are required to submit reports to the government by the 90th day of each calendar year;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or marketing expenditures and pricing information.</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Ensuring that our internal operations and business arrangements with third-parties comply with applicable healthcare laws and regulations could involve substantial costs. If our operations are found to be in violation of such laws or any other governmental laws and regulations that may apply to us, we may be subject to significant penalties, including civil, criminal and administrative penalties, damages, fines, exclusion from U.S. government funded healthcare programs, such as Medicare and Medicaid, disgorgement, individual imprisonment, contractual damages, reputational harm, diminished profits and the curtailment or restructuring of our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and our current and any existing or future collaborators, third-party manufacturers and suppliers will or may use biological materials and may use hazardous materials, and any claims relating to improper handling, storage or disposal of these materials could be time consuming or costly.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and our current and any existing or future collaborators, third-party manufacturers or suppliers will or may use biological materials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product liability lawsuits are brought against us, we may incur substantial liabilities and may be required to limit commercialization of soquelitinib, ciforadenant and mupadolimab or our other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face an inherent risk of product liability as a result of the clinical testing of soquelitinib, ciforadenant and mupadolimab, and the planned clinical testing of our other product candidates and will face an even greater risk if we commercialize our product candidates. For example, we may be sued if soquelitinib, ciforadenant and mupadolimab or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could also be asserted under state consumer protection acts.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cannot successfully defend ourselves against product liability claims, we may incur substantial liabilities or be required to limit or cease the commercialization of our product candidates. Even a successful defense would require significant financial and management resources. Regardless of the merits or eventual outcome, liability claims may result in:</w:t>
      </w:r>
    </w:p>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soquelitinib, ciforadenant and mupadolimab or our other product candidates;</w:t>
            </w:r>
          </w:p>
        </w:tc>
      </w:tr>
    </w:tbl>
    <w:tbl>
      <w:tblPr>
        <w:tblW w:w="2496" w:type="dxa"/>
        <w:jc w:val="left"/>
        <w:tblInd w:w="0" w:type="dxa"/>
        <w:tblLayout w:type="fixed"/>
        <w:tblCellMar>
          <w:top w:w="28" w:type="dxa"/>
          <w:left w:w="28" w:type="dxa"/>
          <w:bottom w:w="28" w:type="dxa"/>
          <w:right w:w="28" w:type="dxa"/>
        </w:tblCellMar>
      </w:tblPr>
      <w:tblGrid>
        <w:gridCol w:w="124"/>
        <w:gridCol w:w="25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defend the related litigation;</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diversion of management’s time and our resources;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marketing or promotional restrictions;</w:t>
            </w:r>
          </w:p>
        </w:tc>
      </w:tr>
    </w:tbl>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soquelitinib, ciforadenant and mupadolimab or our other product candidates; and</w:t>
            </w:r>
          </w:p>
        </w:tc>
      </w:tr>
    </w:tbl>
    <w:tbl>
      <w:tblPr>
        <w:tblW w:w="2766" w:type="dxa"/>
        <w:jc w:val="left"/>
        <w:tblInd w:w="0" w:type="dxa"/>
        <w:tblLayout w:type="fixed"/>
        <w:tblCellMar>
          <w:top w:w="28" w:type="dxa"/>
          <w:left w:w="28" w:type="dxa"/>
          <w:bottom w:w="28" w:type="dxa"/>
          <w:right w:w="28" w:type="dxa"/>
        </w:tblCellMar>
      </w:tblPr>
      <w:tblGrid>
        <w:gridCol w:w="124"/>
        <w:gridCol w:w="256"/>
        <w:gridCol w:w="2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decline in our stock price.</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product liability insurance coverage in an amount and on terms and conditions that are customary for similarly situated companies and that are satisfactory to our board of directors. Our inability to retain sufficient product liability insurance at an acceptable cost to protect against potential product liability claims could prevent or inhibit the commercialization of soquelitinib, ciforadenant and mupadolimab or our other product candidates. Although we plan to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and any of our existing or potential future collaborators will be required to report to regulatory authorities if any products that may be approved in the future cause or contribute to adverse medical events, and any failure to do so would result in sanctions that would materially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and any of our existing or potential future collaborators are successful in commercializing our products, the FDA and foreign regulatory authorities would require that we and any of our existing or potential future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and any of our existing or potential future collaborators or CROs may fail to report adverse events within the prescribed timeframe. If we or any of our existing or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employees, independent contractors, principal investigators, CROs, consultants and vendors may engage in misconduct or other improper activities, including noncompliance with regulatory standards and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the risk that our employees, independent contractors, principal investigators, CROs, consultants and vendors may engage in misconduct or other illegal activity. Misconduct by these parties could include intentional, reckless and/or negligent conduct involving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fines and other sanctions.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rights to develop and commercialize our product candidates are subject in part to the terms and conditions of licenses granted to us by other companies. The patent protection, prosecution and enforcement for some of our product candidates may be dependent on third parties.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currently are heavily reliant upon licenses of certain patent rights and proprietary technology from third parties that is important or necessary to the development of our technology and products, including technology related to our product candidates. For example, we rely on our license agreement with Vernalis for rights with respect to the intellectual property covering ciforadenant. Further, we rely on our license agreement with The Scripps Research Institute for rights related to our lead development candidate for our anti-CD73 program, mupadolimab. These and other licenses we may enter into in the future may not provide adequate rights to use such intellectual property and technology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 all relevant fields of use or in all territories in which we may wish to develop or commercialize our technology and products in the future. As a result, we may not be able to develop and commercialize our technology and products in fields of use and territories for which we are not granted rights pursuant to such licenses.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Licenses to additional third-party technology that may be required for our development programs may not be available in the future or may not be available on commercially reasonable terms, which could have a material adverse effect on our business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some circumstances, we may not have the right to control the preparation, filing, prosecution and enforcement of patent applications, or to maintain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success depends on our ability to protect our intellectual property and our proprietary technologies.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While we have rights to issued composition-of-matter patents in the United States and corresponding issued patents in certain foreign territories covering soquelitinib, mupadolimab and ciforadenant, we cannot be certain that the claims in any of our patent applications covering composition-of-matter of our other product candidates will be considered patentable by the United States Patent and Trademark Office (“USPTO”), courts in the United States or by the patent offices and courts in foreign countries, nor can we be certain that the claims in our issued composition-of-matter patents will not be found invalid or unenforceable if challenged.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patent application process is subject to numerous risks and uncertainties, and there can be no assurance that we or any of our existing or potential future collaborators will be successful in protecting our product candidates by obtaining and defending patents. These risks and uncertainties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may not result in any patents being issued;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that may be issued or in-licensed may be challenged, invalidated, modified, revoked, circumvented, found to be unenforceable or otherwise may not provide any competitive advantage;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countries other than the United States may have patent laws less favorable to patentees than those upheld by U.S. courts, allowing foreign competitors a better opportunity to create, develop and market competing product candidates.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issuance of a patent is not conclusive as to its inventorship, scope, validity or enforceability, and our patents, if issued, or the patent rights that we license from others,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the confidentiality of our trade secrets, our business and competitive position would be harmed.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confidentiality of our proprietary technology and other confidential information, then our ability to obtain patent protection or to protect our trade secret information may be jeopardized.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depends in part on our avoiding infringement of the patents and proprietary rights of third parties. Other entities may have or obtain patents or proprietary rights that could limit our ability to make, use, sell, offer for sale or import our product candidates and future approved products or impair our competitive position. There is a substantial amount of litigation, both within and outside the United States, involving patent and other intellectual property rights in the biotechnology and pharmaceutical industries, including patent infringement lawsuits, interferences, oppositions, reexaminations, inter partes review (“IPR”) proceedings and post-grant review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 applications that, if issued as patents, may be infringed by commercialization of soquelitinib, ciforadenant and mupadolimab or our other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p>
    <w:tbl>
      <w:tblPr>
        <w:tblW w:w="2601" w:type="dxa"/>
        <w:jc w:val="left"/>
        <w:tblInd w:w="0" w:type="dxa"/>
        <w:tblLayout w:type="fixed"/>
        <w:tblCellMar>
          <w:top w:w="28" w:type="dxa"/>
          <w:left w:w="28" w:type="dxa"/>
          <w:bottom w:w="28" w:type="dxa"/>
          <w:right w:w="28" w:type="dxa"/>
        </w:tblCellMar>
      </w:tblPr>
      <w:tblGrid>
        <w:gridCol w:w="124"/>
        <w:gridCol w:w="256"/>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costly litigation;</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divert the time and attention of our technical personnel and management;</w:t>
            </w:r>
          </w:p>
        </w:tc>
      </w:tr>
    </w:tbl>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development delays;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prevent us from commercializing soquelitinib, ciforadenant and mupadolimab or our other product candidates until the asserted patent expires or is held finally invalid or not infringed in a court of law;</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develop non-infringing technology, which may not be possible on a cost-effective basis;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enter into royalty or licensing agreements, which may not be available on commercially reasonable terms, or at all.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no third party has asserted a claim of patent infringement against us as of the date of this Annual Report on Form 10-K, others may hold proprietary rights that could prevent soquelitinib, ciforadenant and mupadolimab or our other product candidates from being marketed. Any patent-related legal action against us claiming damages and seeking to enjoin commercial activities relating to our product candidates or processes could subject us to potential liability for damages, including treble damages if we were determined to willfully infringe, and require us to obtain a license to manufacture or market soquelitinib, ciforadenant and mupadolimab or our other product candidates.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nonexclusive, which could result in our competitors gaining access to the same intellectual property. In addition, we cannot be certain that we could redesign our product candidates or processes to avoid infringement, if necessary. Accordingly, an adverse determination in a judicial or administrative proceeding, or the failure to obtain necessary licenses, could prevent us from developing and commercializing soquelitinib, ciforadenant and mupadolimab or our other product candidates, which could harm our business, financial condition and results of operations. In addition, intellectual property litigation, regardless of its outcome, may cause negative publicity and could prohibit us from marketing or otherwise commercializing our product candidates and technology.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licensors, which could be expensive, time consuming, and unsuccessful. Further, our issued patents could be found invalid or unenforceable if challenged in court.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Competitors may infringe our intellectual property rights or those of our licensors.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existing or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Recent patent reform legislation could increase the uncertainties and costs surrounding the prosecution of our patent applications and the enforcement or defense of our issued patents.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September 16, 2011, the Leahy-Smith America Invents Act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inter-partes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obtaining or maintaining necessary rights to our product candidates through acquisitions and in-licenses.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rights to the intellectual property, through licenses from third parties and under patents that we own, to develop our product candidates. Because our programs may require the use of proprietary rights held by third parties, the growth of our business will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collaborated with U.S. academic institutions and may in the future collaborate with U.S. and foreign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fail to comply with any of our obligations under existing agreements pursuant to which we license or have otherwise acquired intellectual property rights or technology, which could result in the loss of rights or technology that are material to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Licensing of intellectual property is of critical importance to our business and involves complex legal, business and scientific issues. We are party to various agreements that we depend on for rights to use various technologies that are material to our business, including intellectual property rights covering ciforadenant and methods relating to its use and manufacture. In each of these cases,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on intellectual property of the licensor that is not subject to the licensing agreement;</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sublicensing of patent and other rights;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diligence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inventions and know-how resulting from the creation or use of intellectual property by us, alone or with our licensors and collaborators;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duration of our payment obligations;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rights upon termination of such agreement; and</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duration of exclusivity obligations of each party to the agreement.</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which could adversely affect our business. Even if we are successful in defending against these claims, litigation could result in substantial costs and be a distraction to our management team.</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challenging the inventorship or ownership of our patents and other intellectual property.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do not obtain patent term extension for our product candidates, our business may be materially harmed.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Depending upon the timing, duration and specifics of potential FDA marketing approval of soquelitinib, ciforadenant, mupadolimab, or other product candidates, one or more of our U.S. patents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However, we may not be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In addition, Congress may pass patent reform legislation that is unfavorable to us.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protect our intellectual property rights throughout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While we have issued patents directed at soquelitinib, mupadolimab and ciforadenant in the United States and certain foreign territories, and pending patent applications directed at soquelitinib, ciforadenant, mupadolimab and other product candidates in other foreign countries, filing, prosecuting and defending patents on soquelitinib, ciforadenant, mupadolimab and our other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legal systems of many foreign countries do not favor the enforcement of patents and other intellectual property protection, which could make it difficult for us to stop the infringement of our patents or marketing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competing products in violation of our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Intellectual property rights do not necessarily address all potential threats to our competitive advantage.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degree of future protection afforded by our intellectual property rights is uncertain because intellectual property rights have limitations, and may not adequately protect our business or permit us to maintain our competitive advantage. For example: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adenosine antagonists that are similar to our product candidates but that are not covered by the claims of the patents that we own or have exclusively licensed;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or future collaborators might not have been the first to make the inventions covered by the issued patent or pending patent application that we own or have exclusively licensed;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or future collaborators might not have been the first to file patent applications covering certain of our inventions;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or duplicate any of our technologies without infringing our intellectual property rights;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our pending patent applications will not lead to issued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patents that we own or have exclusively licensed may be held invalid or unenforceable, as a result of legal challenges by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additional proprietary technologies that are patentable; and</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have an adverse effect on our business.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Should any of these events occur, they could significantly harm our business, results of operations and prospects.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 active, liquid and orderly market for our common stock may not be sustained.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Although our common stock is listed on The Nasdaq Global Market (“Nasdaq”), an active trading market for our common stock may not be sustained on Nasdaq or any other exchange in the future. The lack of an active market may impair our stockholders’ ability to sell their shares at the time they wish to sell them or at a price that they consider reasonable. If an active market for our common stock is not sustained, it may also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 which, in turn, could materially adversely affect our business. In any event, we have a limited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public float and, as a result, our common stock has been and will likely continue to be less liquid than many other listed companies and trading may be adversely affected.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trading price of the shares of our common stock could be highly volatile, and investors in our common stock could incur substantial losses.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stock price has been volatile. The stock market in general and the market for stock of pharmaceutical companies in particular have experienced extreme volatility that has often been unrelated to the operating performance of particular companies. The market price for our common stock may be influenced by those factors discussed in this “Risk Factors” section and many others, including:</w:t>
      </w:r>
    </w:p>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enroll subjects in our planned clinical trials;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the clinical trials, and the results of trials of our competitors or those of other companies in our market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approval of soquelitinib, ciforadenant, mupadolimab and our other product candidates, or limitations to specific label indications or patient populations for its use, or changes or delays in the regulatory review process;</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Angel Pharmaceuticals’ ability to develop and commercialize product candidates in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foreign countries; including changes in the policies of the U.S. or Chinese governments resulting in sanctions instituted by either government;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 especially in light of current reforms to the U.S. healthcare system;</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or failure of our efforts to acquire, license or develop additional product candidates;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innovations or new products developed by us or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acquisitions, strategic partnerships, joint ventures or capital commitments;</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supply or distribution delays or shortages;</w:t>
            </w:r>
          </w:p>
        </w:tc>
      </w:tr>
    </w:tbl>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relationship with any manufacturers, suppliers, collaborators or other strategic partners;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achievement of product sales and profitability;</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sector and issuance of securities analysts’ reports or recommendations;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political instability, natural disasters, war and/or events of terrorism, such as the military conflict between Ukraine and Russia, and the corresponding tensions created from such conflict between Russia, the United States and countries in Europe as well as other countries such as China, and conflicts and tensions in the Middle East and Venezuela;</w:t>
            </w:r>
          </w:p>
        </w:tc>
      </w:tr>
    </w:tbl>
    <w:tbl>
      <w:tblPr>
        <w:tblW w:w="3591" w:type="dxa"/>
        <w:jc w:val="left"/>
        <w:tblInd w:w="0" w:type="dxa"/>
        <w:tblLayout w:type="fixed"/>
        <w:tblCellMar>
          <w:top w:w="28" w:type="dxa"/>
          <w:left w:w="28" w:type="dxa"/>
          <w:bottom w:w="28" w:type="dxa"/>
          <w:right w:w="28" w:type="dxa"/>
        </w:tblCellMar>
      </w:tblPr>
      <w:tblGrid>
        <w:gridCol w:w="124"/>
        <w:gridCol w:w="256"/>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our common stock;</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obtain additional funding on favorable terms, or at all;</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stock by insiders and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other events or factors such as tariffs, trade controls, interest rates, inflationary pressures and the occurrence of a recession or even depression, many of which are beyond our control;</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 and</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product liability or other litigation against us.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this volatility, investors may experience losses on their investment in our common stock.</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in the past, stockholders have initiated class action lawsuits against 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adhere to the listing requirements of the Nasdaq Global Market our common stock could be delisted.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comply with the listing requirements of the Nasdaq Global Market, our stock could be delisted for such failure. If our common stock is delisted from Nasdaq, we could be required to list on the over-the-counter (“OTC”) market, which may adversely affect the price and trading liquidity of our common stock. Delisting from the Nasdaq may have other negative results, including the potential loss of confidence in us by employees and partners, the loss of institutional investor interest, fewer business development opportunities and greater difficulty in obtaining financing on favorable terms or at all.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principal stockholders and management own a significant percentage of our stock and will be able to exert significant control over matters subject to stockholder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2026, our executive officers, directors, holders of 5% or more of our capital stock based on publicly available filings made with the SEC and their respective affiliates beneficially owned approximately 25% of our outstanding common stock. Therefore, these stockholders have the ability to influence us through their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do not currently intend to pay dividends on our common stock, and, consequently, our stockholders’ ability to achieve a return on their investment will depend on appreciation, if any, in the price of our common stock.</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Sales of a substantial number of shares of our common stock by our existing stockholders in the public market could cause our stock price to fall.</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Sales of a substantial number of shares of our common stock in the public market could occur at any time. These sales, or the perception in the market that the holders of a large number of shares intend to sell shares, could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reduce the market price of our common stock. Moreover, certain holders of shares of our common stock have rights, subject to certain conditions, to require us to file registration statements covering their shares or to include their shares in registration statements that we may file for ourselves or other stockholders. We have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smaller reporting company and the reduced reporting requirements applicable to smaller reporting companies may make our common stock less attractive to investors.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a smaller reporting company, which allows us to take advantage of exemptions from various reporting requirements that are applicable to other public companies that are not smaller reporting companies, including not being required to comply with the auditor attestation requirements of Section 404 of the Sarbanes-Oxley Act of 2002, as amended (“Sarbanes-Oxley”), reduced disclosure obligations regarding executive compensation in our Annual Report and our periodic reports and proxy statements and providing only two years of audited financial statements in our Annual Report and our periodic reports. We will remain a smaller reporting company so long as (a) the aggregate market value of our outstanding common stock held by non-affiliates as of the last business day our most recently completed second fiscal quarter is less than $250 million or (b) (1) we have less than $100 million in annual revenues during our most recently completed fiscal year and (2) the aggregate market value of our outstanding common stock held by non-affiliates as of the last business day our most recently completed second fiscal quarter is less than $700 million.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 and may decline.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maintain proper and effective internal control over financial reporting, our ability to produce accurate and timely consolidated financial statements could be impaired, investors may lose confidence in our financial reporting and the trading price of our common stock may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Section 404 of Sarbanes-Oxley, if and when we no longer qualify as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continue to comply with the requirements of being a reporting company under the Exchange Act, as we continue to grow, we will need to upgrade our systems including information technology;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cannot assure our stockholders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Provisions in our charter documents and under Delaware law could discourage a takeover that stockholders may consider favorable and may lead to entrenchment of management.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amended and restated certificate of incorporation and amended and restated bylaws contain provisions that could significantly reduce the value of our shares to a potential acquiror or delay or prevent changes in control 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changes in our management without the consent of our board of directors. The provisions in our charter documents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classified board of directors with three-year staggered terms, which may delay the ability of stockholders to change the membership of a majority of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in the election of directors, which limits the ability of minority stockholders to elect director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approval of at least 66 2/3% of the shares entitled to vote to remove a director for cause, and the prohibition on removal of directors without cause;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to alter our amended and restated bylaws without obtaining stockholder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approval of at least 66 2/3% of the shares entitled to vote to adopt, amend or repeal our amended and restated bylaws or repeal the provisions of our amended and restated certificate of incorporation regarding the election and removal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prohibition on stockholder action by written consent, which forces stockholder action to be taken at an annual or special meeting of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forum provision providing that the Court of Chancery of the State of Delaware will be the exclusive forum for certain actions and proceedings;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the board of directors, which may delay the ability of our stockholders to force consideration of a proposal or to take action, including the removal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amended and restated certificate of incorporation and amended and restated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This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this provision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 This provision would not apply to suits brought to enforce a duty or liability created by the Exchange Act or any other claim for which the U.S. federal courts have exclusive jurisdiction.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General Risks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growth may depend, in part, on our ability to operate in foreign markets, where we would be subject to additional regulatory burdens and other risks and uncertainties.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 candidates in foreign markets, we would be subject to additional risks and uncertainties, including the burden of complying with complex and changing foreign regulatory, tax, accounting and legal requirements and the reduced protection of intellectual property rights in some foreign countries.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to applicable U.S. or foreign tax laws and regulations may have a material adverse effect on our business,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evolving and complex tax laws in the United States and the foreign jurisdictions in which we operate. New income, sales, use or other tax laws, statutes, rules, regulations, or ordinances could be enacted at any time, or interpreted, changed, modified, or applied adversely to us, any of which could adversely affect our business operations and financial performance. We expect the scope and extent of regulation in the jurisdictions in which we conduct our business, or where our management is located, as well as regulatory oversight and supervision, to generally continue to increase. Generally, future changes in applicable U.S. or foreign tax laws and regulations, or their interpretation and application could have an adverse effect on our business, financial condition and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information technology systems, or those of any of our existing or potential future collaborators, CROs or other contractors or consultants, may fail or suffer security breaches, which could result in a material disruption of our product development programs.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maintain sensitive company data on our information technology systems, including our intellectual property, proprietary business information, clinical trial data, and personal information (collectively, “Confidential Information”) of customers and our employees and contractors. We face a number of threats to our networks from unauthorized access, security breaches and other system disruptions. Despite the implementation of security measures, our information technology and other internal computer systems and those of our current and any future CROs and other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contractors, consultants and collaborators are vulnerable to damage from cyberattacks, “phishing” attacks, computer viruses and malware (e.g., ransomware), malicious code, misconfigurations, “bugs” or other vulnerabilities, unauthorized access, natural disasters, terrorism, war and telecommunication and electrical failures, including from diverse threat actors, such as state-sponsored organizations, opportunistic hackers and hacktivists.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 that are designed to circumvent controls, to avoid detection, and to remove or obfuscate forensic evidence. As a result of the continued hybrid working environment, we may also face increased cybersecurity risks due to our reliance on internet technology and the number of our and our service providers’ employees who are working remotely, which may create additional opportunities for cybercriminals to exploit vulnerabilities. There can also be no assurance that our and our current and future CROs’ and other contractors’, consultants’ and collaborators’ cybersecurity risk management program and processes, including policies, controls or procedures, will be fully implemented, complied with or effective in protecting our systems, networks and Confidential Information.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and certain of our service providers are from time to time, subject to cyberattacks and security incidents. While we do not believe that we have experienced any significant system failure, accident or security breach to date, any such security breach may compromise Confidential Information stored on our networks, or those of our vendors, and may result in significant data losses or theft of our Confidential Information. Further, if such an event were to occur and cause interruptions in our operations, it could result in a material disruption of our development programs and our business operations, whether due to a loss of our trade secrets or other similar disruptions. For example, the loss of clinical trial data from completed or future clinical trials could result in delays in our regulatory approval efforts and significantly increase our costs to recover or reproduce the data. In addition, such a breach may require notification to governmental agencies, or affected individuals pursuant to applicable data privacy and security laws. We would also be exposed to a risk of loss, including financial assets or litigation and potential liability, which could materially adversely affect our business, reputation, financial condition, results of operations and prospects.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Information, we could incur liability and the further development and commercialization of our product candidates could be delayed or otherwise harmed.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customers, and/or significant incident response, system restoration or remediation and future compliance costs. 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and failures to comply with U.S. and foreign privacy and data protection laws, regulations and standards may adversely affect our business, operations and financial performance.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or affected by numerous federal, state and foreign laws and regulations, as well as regulatory guidance, governing the collection, use, disclosure, retention, and security of personal data, such as information that we collect about patients and healthcare providers in connection with clinical trials in the United States and abroad. The global data protection landscape is rapidly evolving, and implementation standards and enforcement practices are likely to remain uncertain for the foreseeable future. This evolution may create uncertainty in our business, affect our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United States, HIPAA imposes, among other things, certain standards relating to the privacy, security, transmission and breach reporting of individually identifiable health information. Certain states have also adopted comparable privacy and security laws and regulations, which govern the privacy, processing and protection of health-related and other personal information. Depending on the facts and circumstances, we could be subject to criminal penalties if we knowingly obtain, use, or disclose individually identifiable health information that was provided to us by a HIPAA-covered entity in a manner that is not authorized or permitted by HIPAA.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Similar laws have been proposed in other states and are continuing to be proposed at the state and federal level, and if passed, such laws may have potentially conflicting requirements that would make compliance challenging.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operations abroad may also be subject to increased scrutiny or attention from data protection authorities. Many countries in these regions have established or are in the process of establishing privacy and data security legal frameworks with which we, our collaborators, service providers, including our CRO, and contractors must comply. For example, the General Data Protection Regulation (the “GDPR”), which went into effect in May 2018, imposes strict requirements for processing the personal data of individuals within the EEA, including clinical trial data. The GDPR has and will continue to increase compliance burdens on us, including by mandating potentially burdensome documentation requirements and granting certain rights to individuals to control how we collect, use, disclose, retain and process information about them. The processing of sensitive personal data, such as physical health condition, may impose heightened compliance burdens under the GDPR and is a topic of active interest among foreign regulators. The GDPR provides for robust regulatory enforcement and fines of up to €20 million or 4% of the annual global revenue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Additionally, the U.S. Department of Justice recently issued a final rule that went into effect in April 2025, known as the “Data Security Program” (the “DSP Rule”). The DSP Rule places restrictions, and in some cases prohibitions, on certain transactions that could grant access of sensitive personal data to certain foreign actors with connections to “countries of concern”, such as China, which the DSP Rule refers to as “covered persons,” and may create operational challenges and legal risks for our business. As regulators issue further guidance on personal data export mechanisms and/or start taking enforcement action, we could suffer additional costs, complaints and/or regulatory investigations or fines.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from January 1, 2021, we had to comply with the GDPR and the United Kingdom (“UK”) GDPR, which, together with the amended UK Data Protection Act 2018, retains the GDPR in UK national law, the latter regime having the ability to separately fine up to the greater of £17.5 million or 4% of global turnover. On October 12, 2023, the UK Extension to the DPF came into effect (as approved by the UK Government), as a data transfer mechanism from the UK to U.S. entities self-certified under the DPF.</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we expand into other foreign countries and jurisdictions, we may be subject to additional laws and regulations that may affect how we conduct business. The cost of compliance with these laws, regulations and standards is high and is likely to increase in the future. Any failure or perceived failure by us or our collaborators, service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providers and contractors to comply with federal, state or foreign laws or regulation, our internal policies and procedures or our contracts governing processing of personal information could result in negative publicity, diversion of management time and effort and proceedings against us by governmental entities or others. In many jurisdictions, enforcement actions and consequences for noncompliance are rising.</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operations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corporate headquarters and laboratory are located in the San Francisco Bay Area. This location has in the past experienced severe earthquakes and other natural disasters. Earthquakes, extreme weather conditions, or other natural disasters, power-shortages, telecommunications failures, fires, medical epidemics and pandemics, and other natural or manmade disasters could severely disrupt our operations or those of our collaboration partners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any of our suppliers of the drug substance we use for the development of our product candidates are unable to provide such drug substance, our business could be disrupted and seriously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currently rely on several different manufacturers who supply different parts of the ciforadenant molecule and soquelitinib molecule, on one manufacturer for mupadolimab drug substance and on other third-party manufacturers to produce our other product candidates. Our ability to obtain clinical supplies of soquelitinib, ciforadenant and mupadolimab or our other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r>
        <w:rPr>
          <w:rFonts w:ascii="Times New Roman;Times;serif" w:hAnsi="Times New Roman;Times;serif"/>
          <w:sz w:val="24"/>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use net operating loss carryforwards and other tax attributes may be limited.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incurred substantial losses during our history and do not expect to become profitable in the near future, and we may never achieve profitability. Generally, to the extent that we continue to generate taxable losses, unused losses will carry forward to offset future taxable income, if any, until such unused losses expire. As of December 31, 2025, we had federal net operating loss (“NOL”) carryforwards of approximately $285.9 million and state NOL carryforwards of approximately $353.7 million available to offset future taxable income. If not utilized, certain of our federal and state NOL carryforwards will begin to expire in various years beginning in 2035. As of December 31, 2025, we also had $11.1 million of federal research and development tax credit, $1.5 million of federal orphan drug credit, and $5.8 million of state research and development tax credit carryforwards available to offset future income taxes. The federal research and development tax credits will begin to expire in 2036, if not utilized. The state research and development tax credits have no expiration date. Utilization of NOL carryforwards and credits may be subject to an annual limitation due to the “ownership change” provisions under Sections 382 and 383 of the Internal Revenue Code of 1986, as amended (the “Code”). An “ownership change” is generally defined as a cumulative change in stock ownership of certain significant stockholders over a rolling three year period in excess of 50 percentage points by value. Similar provisions under state tax law may also apply. We may have experienced ownership changes in the past, and we may experience ownership changes in the future as a result of subsequent shifts in our stock ownership, some of which may be outside our control. Such ownership changes could result in the expiration of certain of our NOL carryforwards and other tax attributes before they can be utilized. As a result, even if we attain profitability, we may be unable to use a material portion of our NOL carryforwards and other tax attributes to offset future taxable income.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Additionally, under the Tax Act, as modified by the Coronavirus Aid, Relief, and Economic Security Act (the “CARES Act”), NOL carryforwards arising in tax years beginning after December 31, 2020 are limited to 80% of taxable income. Under the Tax Act, federal NOL carryforwards arising in tax years beginning after December 31, 2017 may be carried forward indefinitely. Under the CARES Act, federal NOL carryforwards arising in tax years beginning after December 31, 2017 and before January 1, 2021 may be carried back to each of the five tax years preceding the tax year of such loss. The changes in the carryforward and carryback periods as well as the limitation on use of NOL carryforwards may significantly impact our ability to use NOL carryforwards, particularly for tax years beginning after December 31, 2020, as well as the timing of any such use, and could adversely affect our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reports or publish unfavorable research or reports about our business, our stock price and trading volume could decline.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bookmarkStart w:id="828" w:name="Item2UnregisteredSalesofEquitySecurities"/>
      <w:bookmarkStart w:id="829" w:name="_f1cf53c1_e512_43de_bc79_99062a2f408c"/>
      <w:bookmarkEnd w:id="828"/>
      <w:bookmarkEnd w:id="829"/>
      <w:r>
        <w:rPr>
          <w:rFonts w:ascii="Times New Roman;Times;serif" w:hAnsi="Times New Roman;Times;serif"/>
          <w:b/>
          <w:sz w:val="20"/>
        </w:rPr>
        <w:t>Item 2.</w:t>
      </w:r>
      <w:r>
        <w:rPr>
          <w:rFonts w:ascii="Times New Roman;Times;serif" w:hAnsi="Times New Roman;Times;serif"/>
          <w:sz w:val="20"/>
        </w:rPr>
        <w:t>   </w:t>
      </w:r>
      <w:r>
        <w:rPr>
          <w:rFonts w:ascii="Times New Roman;Times;serif" w:hAnsi="Times New Roman;Times;serif"/>
          <w:b/>
          <w:sz w:val="20"/>
        </w:rPr>
        <w:t>Unregistered Sales of Equity Securities and Use of Proceeds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Use of Proceeds from Registered Securities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Repurchases of Shares or of Company Equity Securities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bookmarkStart w:id="830" w:name="Item3DefaultsUponSeniorSecurities_526790"/>
      <w:bookmarkStart w:id="831" w:name="_196b6bfc_3012_4657_91e2_051c49c40ed0"/>
      <w:bookmarkEnd w:id="830"/>
      <w:bookmarkEnd w:id="831"/>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3.</w:t>
      </w:r>
      <w:r>
        <w:rPr>
          <w:rFonts w:ascii="Times New Roman;Times;serif" w:hAnsi="Times New Roman;Times;serif"/>
          <w:sz w:val="20"/>
        </w:rPr>
        <w:t>   </w:t>
      </w:r>
      <w:r>
        <w:rPr>
          <w:rFonts w:ascii="Times New Roman;Times;serif" w:hAnsi="Times New Roman;Times;serif"/>
          <w:b/>
          <w:sz w:val="20"/>
        </w:rPr>
        <w:t>Defaults Upon Senior Securities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bookmarkStart w:id="832" w:name="Item4MineSafetyDisclosures_600075"/>
      <w:bookmarkStart w:id="833" w:name="_2a2ab4c1_8799_4785_9931_ec0c76e44e43"/>
      <w:bookmarkEnd w:id="832"/>
      <w:bookmarkEnd w:id="833"/>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4.</w:t>
      </w:r>
      <w:r>
        <w:rPr>
          <w:rFonts w:ascii="Times New Roman;Times;serif" w:hAnsi="Times New Roman;Times;serif"/>
          <w:sz w:val="20"/>
        </w:rPr>
        <w:t>   </w:t>
      </w:r>
      <w:r>
        <w:rPr>
          <w:rFonts w:ascii="Times New Roman;Times;serif" w:hAnsi="Times New Roman;Times;serif"/>
          <w:b/>
          <w:sz w:val="20"/>
        </w:rPr>
        <w:t>Mine Safety Disclosures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bookmarkStart w:id="834" w:name="Item5OtherInformation_876990"/>
      <w:bookmarkStart w:id="835" w:name="_105b73b2_1ad1_465d_b777_9f1f09ffd4af"/>
      <w:bookmarkEnd w:id="834"/>
      <w:bookmarkEnd w:id="835"/>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5.</w:t>
      </w:r>
      <w:r>
        <w:rPr>
          <w:rFonts w:ascii="Times New Roman;Times;serif" w:hAnsi="Times New Roman;Times;serif"/>
          <w:sz w:val="20"/>
        </w:rPr>
        <w:t>   </w:t>
      </w:r>
      <w:r>
        <w:rPr>
          <w:rFonts w:ascii="Times New Roman;Times;serif" w:hAnsi="Times New Roman;Times;serif"/>
          <w:b/>
          <w:sz w:val="20"/>
        </w:rPr>
        <w:t>Other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Rule 10b5-1 Trading Arrangements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During the quarter ended March 31, 2026, none of our directors or officers (as defined in Rule 16a-1(f) under the Exchange Act) adopted, modified or terminated a “Rule 10b5-1 trading arrangement” or a “non-Rule 10b5-1 trading arrangement”, as each term is defined in Item 408(a) of Regulation S-K.</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836" w:name="Item6Exhibits_350365"/>
      <w:bookmarkStart w:id="837" w:name="_5649bd21_15bf_46df_8505_40ebb9f31d67"/>
      <w:bookmarkEnd w:id="836"/>
      <w:bookmarkEnd w:id="837"/>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6.</w:t>
      </w:r>
      <w:r>
        <w:rPr>
          <w:rFonts w:ascii="Times New Roman;Times;serif" w:hAnsi="Times New Roman;Times;serif"/>
          <w:sz w:val="20"/>
        </w:rPr>
        <w:t>   </w:t>
      </w:r>
      <w:r>
        <w:rPr>
          <w:rFonts w:ascii="Times New Roman;Times;serif" w:hAnsi="Times New Roman;Times;serif"/>
          <w:b/>
          <w:sz w:val="20"/>
        </w:rPr>
        <w:t>Exhibits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7"/>
        <w:gridCol w:w="226"/>
        <w:gridCol w:w="5626"/>
        <w:gridCol w:w="226"/>
        <w:gridCol w:w="511"/>
        <w:gridCol w:w="226"/>
        <w:gridCol w:w="662"/>
        <w:gridCol w:w="226"/>
        <w:gridCol w:w="691"/>
        <w:gridCol w:w="226"/>
        <w:gridCol w:w="828"/>
      </w:tblGrid>
      <w:tr>
        <w:trPr/>
        <w:tc>
          <w:tcPr>
            <w:tcW w:w="757"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rPr/>
            </w:pPr>
            <w:r>
              <w:rPr/>
              <w:t>​</w:t>
            </w:r>
          </w:p>
        </w:tc>
        <w:tc>
          <w:tcPr>
            <w:tcW w:w="662"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c>
          <w:tcPr>
            <w:tcW w:w="226" w:type="dxa"/>
            <w:tcBorders/>
            <w:vAlign w:val="center"/>
          </w:tcPr>
          <w:p>
            <w:pPr>
              <w:pStyle w:val="TableContents"/>
              <w:bidi w:val="0"/>
              <w:spacing w:lineRule="auto" w:line="285" w:before="0" w:after="0"/>
              <w:ind w:left="0" w:right="0" w:hanging="0"/>
              <w:jc w:val="center"/>
              <w:rPr/>
            </w:pPr>
            <w:r>
              <w:rPr/>
              <w:t>​</w:t>
            </w:r>
          </w:p>
        </w:tc>
        <w:tc>
          <w:tcPr>
            <w:tcW w:w="5626"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2316"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Filed</w:t>
            </w:r>
          </w:p>
        </w:tc>
      </w:tr>
      <w:tr>
        <w:trPr/>
        <w:tc>
          <w:tcPr>
            <w:tcW w:w="757"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226" w:type="dxa"/>
            <w:tcBorders/>
            <w:vAlign w:val="center"/>
          </w:tcPr>
          <w:p>
            <w:pPr>
              <w:pStyle w:val="TableContents"/>
              <w:bidi w:val="0"/>
              <w:spacing w:lineRule="auto" w:line="285" w:before="0" w:after="0"/>
              <w:ind w:left="0" w:right="0" w:hanging="0"/>
              <w:jc w:val="left"/>
              <w:rPr/>
            </w:pPr>
            <w:r>
              <w:rPr/>
              <w:t>  ​</w:t>
            </w:r>
          </w:p>
        </w:tc>
        <w:tc>
          <w:tcPr>
            <w:tcW w:w="56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26" w:type="dxa"/>
            <w:tcBorders/>
            <w:vAlign w:val="center"/>
          </w:tcPr>
          <w:p>
            <w:pPr>
              <w:pStyle w:val="TableContents"/>
              <w:bidi w:val="0"/>
              <w:spacing w:lineRule="auto" w:line="285"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26" w:type="dxa"/>
            <w:tcBorders/>
            <w:vAlign w:val="center"/>
          </w:tcPr>
          <w:p>
            <w:pPr>
              <w:pStyle w:val="TableContents"/>
              <w:bidi w:val="0"/>
              <w:spacing w:lineRule="auto" w:line="285" w:before="0" w:after="0"/>
              <w:ind w:left="0" w:right="0" w:hanging="0"/>
              <w:jc w:val="center"/>
              <w:rPr/>
            </w:pPr>
            <w:r>
              <w:rPr/>
              <w:t>  ​</w:t>
            </w:r>
          </w:p>
        </w:tc>
        <w:tc>
          <w:tcPr>
            <w:tcW w:w="66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226" w:type="dxa"/>
            <w:tcBorders/>
            <w:vAlign w:val="center"/>
          </w:tcPr>
          <w:p>
            <w:pPr>
              <w:pStyle w:val="TableContents"/>
              <w:bidi w:val="0"/>
              <w:spacing w:lineRule="auto" w:line="285"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226" w:type="dxa"/>
            <w:tcBorders/>
            <w:vAlign w:val="center"/>
          </w:tcPr>
          <w:p>
            <w:pPr>
              <w:pStyle w:val="TableContents"/>
              <w:bidi w:val="0"/>
              <w:spacing w:lineRule="auto" w:line="285" w:before="0" w:after="0"/>
              <w:ind w:left="0" w:right="0" w:hanging="0"/>
              <w:jc w:val="center"/>
              <w:rPr/>
            </w:pPr>
            <w:r>
              <w:rPr/>
              <w:t>  ​</w:t>
            </w:r>
          </w:p>
        </w:tc>
        <w:tc>
          <w:tcPr>
            <w:tcW w:w="82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62"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828" w:type="dxa"/>
            <w:tcBorders/>
            <w:vAlign w:val="center"/>
          </w:tcPr>
          <w:p>
            <w:pPr>
              <w:pStyle w:val="TableContents"/>
              <w:bidi w:val="0"/>
              <w:spacing w:lineRule="auto" w:line="285" w:before="0" w:after="0"/>
              <w:ind w:left="0" w:right="0" w:hanging="0"/>
              <w:jc w:val="left"/>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hyperlink r:id="rId8">
              <w:r>
                <w:rPr>
                  <w:rStyle w:val="InternetLink"/>
                  <w:rFonts w:ascii="Times New Roman;Times;serif" w:hAnsi="Times New Roman;Times;serif"/>
                  <w:b w:val="false"/>
                  <w:i w:val="false"/>
                  <w:caps w:val="false"/>
                  <w:smallCaps w:val="false"/>
                  <w:sz w:val="20"/>
                </w:rPr>
                <w:t>Amended and Restated Certificate of Incorporation.</w:t>
              </w:r>
            </w:hyperlink>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3/29/2016</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hyperlink r:id="rId9">
              <w:r>
                <w:rPr>
                  <w:rStyle w:val="InternetLink"/>
                  <w:rFonts w:ascii="Times New Roman;Times;serif" w:hAnsi="Times New Roman;Times;serif"/>
                  <w:b w:val="false"/>
                  <w:i w:val="false"/>
                  <w:caps w:val="false"/>
                  <w:smallCaps w:val="false"/>
                  <w:sz w:val="20"/>
                </w:rPr>
                <w:t>Amended and Restated Bylaws.</w:t>
              </w:r>
            </w:hyperlink>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3/29/2016</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40" w:before="0" w:after="0"/>
              <w:ind w:left="0" w:right="0" w:hanging="0"/>
              <w:jc w:val="left"/>
              <w:rPr/>
            </w:pPr>
            <w:hyperlink r:id="rId10">
              <w:r>
                <w:rPr>
                  <w:rStyle w:val="InternetLink"/>
                  <w:rFonts w:ascii="Times New Roman;Times;serif" w:hAnsi="Times New Roman;Times;serif"/>
                  <w:b w:val="false"/>
                  <w:i w:val="false"/>
                  <w:caps w:val="false"/>
                  <w:smallCaps w:val="false"/>
                  <w:sz w:val="20"/>
                </w:rPr>
                <w:t>Amended and Restated Open Market Sale Agreement</w:t>
              </w:r>
            </w:hyperlink>
            <w:hyperlink r:id="rId11">
              <w:r>
                <w:rPr>
                  <w:rStyle w:val="InternetLink"/>
                  <w:rFonts w:ascii="Times New Roman;Times;serif" w:hAnsi="Times New Roman;Times;serif"/>
                  <w:b w:val="false"/>
                  <w:i w:val="false"/>
                  <w:caps w:val="false"/>
                  <w:smallCaps w:val="false"/>
                  <w:sz w:val="15"/>
                </w:rPr>
                <w:t>SM</w:t>
              </w:r>
            </w:hyperlink>
            <w:hyperlink r:id="rId12">
              <w:r>
                <w:rPr>
                  <w:rStyle w:val="InternetLink"/>
                  <w:rFonts w:ascii="Times New Roman;Times;serif" w:hAnsi="Times New Roman;Times;serif"/>
                  <w:b w:val="false"/>
                  <w:i w:val="false"/>
                  <w:caps w:val="false"/>
                  <w:smallCaps w:val="false"/>
                  <w:sz w:val="20"/>
                </w:rPr>
                <w:t>, dated March 13, 2026, by and between Corvus Pharmaceuticals, Inc. and Jefferies LLC.</w:t>
              </w:r>
            </w:hyperlink>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3/13/2026</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hyperlink w:anchor="crvs-20260331xex31d1.htm">
              <w:r>
                <w:rPr>
                  <w:rStyle w:val="InternetLink"/>
                  <w:rFonts w:ascii="Times New Roman;Times;serif" w:hAnsi="Times New Roman;Times;serif"/>
                  <w:b w:val="false"/>
                  <w:i w:val="false"/>
                  <w:caps w:val="false"/>
                  <w:smallCaps w:val="false"/>
                  <w:sz w:val="20"/>
                </w:rPr>
                <w:t>Certification of Chief Executive Officer required by Rule 13a-14(a) or Rule 15d-14(a).</w:t>
              </w:r>
            </w:hyperlink>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hyperlink w:anchor="crvs-20260331xex31d2.htm">
              <w:r>
                <w:rPr>
                  <w:rStyle w:val="InternetLink"/>
                  <w:rFonts w:ascii="Times New Roman;Times;serif" w:hAnsi="Times New Roman;Times;serif"/>
                  <w:b w:val="false"/>
                  <w:i w:val="false"/>
                  <w:caps w:val="false"/>
                  <w:smallCaps w:val="false"/>
                  <w:sz w:val="20"/>
                </w:rPr>
                <w:t>Certification of Chief Financial Officer required by Rule 13a-14(a) or Rule 15d-14(a).</w:t>
              </w:r>
            </w:hyperlink>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hyperlink w:anchor="crvs-20260331xex32d1.htm">
              <w:r>
                <w:rPr>
                  <w:rStyle w:val="InternetLink"/>
                  <w:rFonts w:ascii="Times New Roman;Times;serif" w:hAnsi="Times New Roman;Times;serif"/>
                  <w:b w:val="false"/>
                  <w:i w:val="false"/>
                  <w:caps w:val="false"/>
                  <w:smallCaps w:val="false"/>
                  <w:sz w:val="20"/>
                </w:rPr>
                <w:t>Certification required by Rule 13a-14(b) or Rule 15d-14(b) and Section 1350 of Chapter 63 of Title 18 of the United States Code (18 U.S.C. §1350).</w:t>
              </w:r>
            </w:hyperlink>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Definitions Linkbase Document.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7"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pPr>
            <w:r>
              <w:rPr/>
              <w:t>​</w:t>
            </w:r>
          </w:p>
        </w:tc>
      </w:tr>
      <w:tr>
        <w:trPr/>
        <w:tc>
          <w:tcPr>
            <w:tcW w:w="7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26" w:type="dxa"/>
            <w:tcBorders/>
            <w:vAlign w:val="center"/>
          </w:tcPr>
          <w:p>
            <w:pPr>
              <w:pStyle w:val="TableContents"/>
              <w:bidi w:val="0"/>
              <w:spacing w:lineRule="auto" w:line="285" w:before="0" w:after="0"/>
              <w:ind w:left="0" w:right="0" w:hanging="0"/>
              <w:jc w:val="left"/>
              <w:rPr/>
            </w:pPr>
            <w:r>
              <w:rPr/>
              <w:t>​</w:t>
            </w:r>
          </w:p>
        </w:tc>
        <w:tc>
          <w:tcPr>
            <w:tcW w:w="56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cover page of Corvus Pharmaceuticals, Inc.’s Quarterly Report on Form 10-Q for the three months ended March 31, 2026, formatted in Inline XBRL (contained in Exhibit 101).</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2"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certification attached as Exhibit 32.1 that accompanies this Quarterly Report on Form 10-Q is not deemed filed with the Securities and Exchange Commission and is not to be incorporated by reference into any filing of Corvus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lineRule="auto" w:line="285" w:before="0" w:after="0"/>
        <w:ind w:left="0" w:right="0" w:hanging="0"/>
        <w:jc w:val="left"/>
        <w:rPr/>
      </w:pPr>
      <w:bookmarkStart w:id="838" w:name="_013749"/>
      <w:bookmarkEnd w:id="838"/>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839" w:name="SIGNATURES_676454"/>
      <w:bookmarkStart w:id="840" w:name="_952feaf0_219a_4dfc_9ece_cd126e43e071"/>
      <w:bookmarkEnd w:id="839"/>
      <w:bookmarkEnd w:id="840"/>
      <w:r>
        <w:rPr>
          <w:rFonts w:ascii="Times New Roman;Times;serif" w:hAnsi="Times New Roman;Times;serif"/>
          <w:b/>
          <w:sz w:val="20"/>
        </w:rPr>
        <w:t>SIGNATURES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5" w:before="0" w:after="0"/>
        <w:ind w:left="0" w:right="0" w:hanging="0"/>
        <w:jc w:val="left"/>
        <w:rPr/>
      </w:pPr>
      <w:r>
        <w:rPr/>
        <w:t>​</w:t>
      </w:r>
    </w:p>
    <w:tbl>
      <w:tblPr>
        <w:tblW w:w="6003" w:type="dxa"/>
        <w:jc w:val="left"/>
        <w:tblInd w:w="0" w:type="dxa"/>
        <w:tblLayout w:type="fixed"/>
        <w:tblCellMar>
          <w:top w:w="0" w:type="dxa"/>
          <w:left w:w="0" w:type="dxa"/>
          <w:bottom w:w="0" w:type="dxa"/>
          <w:right w:w="0" w:type="dxa"/>
        </w:tblCellMar>
      </w:tblPr>
      <w:tblGrid>
        <w:gridCol w:w="1636"/>
        <w:gridCol w:w="406"/>
        <w:gridCol w:w="3961"/>
      </w:tblGrid>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36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CORVUS PHARMACEUTICALS, INC.</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Richard. A. Miller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Richard A. Miller, M.D.</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pPr>
            <w:r>
              <w:rPr/>
              <w:t>​</w:t>
            </w:r>
          </w:p>
        </w:tc>
      </w:tr>
      <w:tr>
        <w:trPr/>
        <w:tc>
          <w:tcPr>
            <w:tcW w:w="16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Leiv Lea</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Leiv Lea</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0"/>
        <w:ind w:left="0" w:right="0" w:hanging="0"/>
        <w:jc w:val="right"/>
        <w:rPr>
          <w:rFonts w:ascii="Times New Roman;Times;serif" w:hAnsi="Times New Roman;Times;serif"/>
          <w:b/>
          <w:sz w:val="20"/>
        </w:rPr>
      </w:pPr>
      <w:bookmarkStart w:id="841" w:name="crvs-20260331xex31d1.htm"/>
      <w:bookmarkStart w:id="842" w:name="kscrvs20260331xex31d1"/>
      <w:bookmarkEnd w:id="841"/>
      <w:bookmarkEnd w:id="842"/>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Richard A. Miller, M.D. President and Chief Executive Officer of Corvus Pharmaceuticals, Inc., certify that: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1.    I have reviewed this Quarterly Report on Form 10-Q of Corvus Pharmaceuticals, Inc.;</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5478" w:type="dxa"/>
        <w:jc w:val="left"/>
        <w:tblInd w:w="0" w:type="dxa"/>
        <w:tblLayout w:type="fixed"/>
        <w:tblCellMar>
          <w:top w:w="0" w:type="dxa"/>
          <w:left w:w="0" w:type="dxa"/>
          <w:bottom w:w="0" w:type="dxa"/>
          <w:right w:w="0" w:type="dxa"/>
        </w:tblCellMar>
      </w:tblPr>
      <w:tblGrid>
        <w:gridCol w:w="1636"/>
        <w:gridCol w:w="631"/>
        <w:gridCol w:w="3211"/>
      </w:tblGrid>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A. Miller</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Richard A. Miller, M.D. </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43" w:name="crvs-20260331xex31d2.htm"/>
      <w:bookmarkStart w:id="844" w:name="kscrvs20260331xex31d2"/>
      <w:bookmarkEnd w:id="843"/>
      <w:bookmarkEnd w:id="844"/>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Leiv Lea, Chief Financial Officer of Corvus Pharmaceuticals, Inc., certify that: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1.    I have reviewed this Quarterly Report on Form 10-Q of Corvus Pharmaceuticals, Inc.;</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5913" w:type="dxa"/>
        <w:jc w:val="left"/>
        <w:tblInd w:w="0" w:type="dxa"/>
        <w:tblLayout w:type="fixed"/>
        <w:tblCellMar>
          <w:top w:w="0" w:type="dxa"/>
          <w:left w:w="0" w:type="dxa"/>
          <w:bottom w:w="0" w:type="dxa"/>
          <w:right w:w="0" w:type="dxa"/>
        </w:tblCellMar>
      </w:tblPr>
      <w:tblGrid>
        <w:gridCol w:w="1636"/>
        <w:gridCol w:w="631"/>
        <w:gridCol w:w="3646"/>
      </w:tblGrid>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Leiv Lea</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Leiv Lea</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45" w:name="crvs-20260331xex32d1.htm"/>
      <w:bookmarkStart w:id="846" w:name="kscrvs20260331xex32d1"/>
      <w:bookmarkEnd w:id="845"/>
      <w:bookmarkEnd w:id="846"/>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Corvus Pharmaceuticals, Inc. (the “Company”) on Form 10-Q for the fiscal quarter ended March 31, 2026, as filed with the Securities and Exchange Commission on the date hereof (the “Report”), Richard A. Miller, President and Chief Executive Officer of the Company, and Leiv Lea, Chief Financial Officer of the Company, respectively, do each hereby certify, pursuant to 18 U.S.C. Section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3890" w:type="dxa"/>
        <w:jc w:val="left"/>
        <w:tblInd w:w="0" w:type="dxa"/>
        <w:tblLayout w:type="fixed"/>
        <w:tblCellMar>
          <w:top w:w="0" w:type="dxa"/>
          <w:left w:w="0" w:type="dxa"/>
          <w:bottom w:w="0" w:type="dxa"/>
          <w:right w:w="0" w:type="dxa"/>
        </w:tblCellMar>
      </w:tblPr>
      <w:tblGrid>
        <w:gridCol w:w="3736"/>
        <w:gridCol w:w="154"/>
      </w:tblGrid>
      <w:tr>
        <w:trPr/>
        <w:tc>
          <w:tcPr>
            <w:tcW w:w="37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A. Miller</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A. Miller, M.D.</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Leiv Lea</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Leiv Lea</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certification accompanies the Report on Form 10-Q to which it relates, is not deemed filed with the Securities and Exchange Commission and is not to be incorporated by reference into any filing of Corvus Pharmaceuticals, Inc. under the Securities Act of 1933, as amended, or the Securities Exchange Act of 1934, as amended (whether made before or after the date of this Report on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www.sec.gov/Archives/edgar/data/1626971/000110465916108304/a16-7289_1ex3d1.htm" TargetMode="External"/><Relationship Id="rId9" Type="http://schemas.openxmlformats.org/officeDocument/2006/relationships/hyperlink" Target="http://www.sec.gov/Archives/edgar/data/1626971/000110465916108304/a16-7289_1ex3d2.htm" TargetMode="External"/><Relationship Id="rId10" Type="http://schemas.openxmlformats.org/officeDocument/2006/relationships/hyperlink" Target="https://www.sec.gov/Archives/edgar/data/1626971/000110465926027390/tm268518d4_ex1-1.htm" TargetMode="External"/><Relationship Id="rId11" Type="http://schemas.openxmlformats.org/officeDocument/2006/relationships/hyperlink" Target="https://www.sec.gov/Archives/edgar/data/1626971/000110465926027390/tm268518d4_ex1-1.htm" TargetMode="External"/><Relationship Id="rId12" Type="http://schemas.openxmlformats.org/officeDocument/2006/relationships/hyperlink" Target="https://www.sec.gov/Archives/edgar/data/1626971/000110465926027390/tm268518d4_ex1-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49853</Words>
  <Characters>278014</Characters>
  <CharactersWithSpaces>328752</CharactersWithSpaces>
  <Paragraphs>4732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