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Grais Linda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6"/>
          <w:szCs w:val="16"/>
          <w:color w:val="0000FF"/>
        </w:rPr>
        <w:t>C/O CORVUS PHARMACEUTICALS, INC. 901 GATEWAY BOULEVARD, THIRD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Corvus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440" w:space="48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of the total number of shares subject to the option on the earlier of (i) the first anniversary of the grant date or (ii) the date of the 2027 Annual Meeting of the Issuer's stockholders, assuming continuous service as a director until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Leiv Lea, as Attorney-in-</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5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Linda S. Grais</w:t>
            </w:r>
          </w:p>
        </w:tc>
        <w:tc>
          <w:tcPr>
            <w:tcW w:w="6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4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13306" TargetMode="External"/><Relationship Id="rId14" Type="http://schemas.openxmlformats.org/officeDocument/2006/relationships/hyperlink" Target="http://www.sec.gov/cgi-bin/browse-edgar?action=getcompany&amp;CIK=0001626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2026-06-15T16:23:38Z</dcterms:created>
  <dcterms:modified xsi:type="dcterms:W3CDTF">2026-06-15T16:23:38Z</dcterms:modified>
</cp:coreProperties>
</file>