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Thompson Peter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CORVUS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901 GATEWAY BOULEVARD, THIRD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Corvus Pharmaceuticals, Inc.</w:t>
              </w:r>
            </w:hyperlink>
            <w:r>
              <w:rPr/>
              <w:t xml:space="preserve"> [ </w:t>
            </w:r>
            <w:r>
              <w:rPr>
                <w:rFonts w:ascii="Times;serif" w:hAnsi="Times;serif"/>
                <w:color w:val="0000FF"/>
                <w:sz w:val="24"/>
                <w:shd w:fill="FFFFFF" w:val="clear"/>
              </w:rPr>
              <w:t>CRVS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underlying shares subject to the option vest and become exercisable as to 100% of the total number of shares subject to the option on the earlier of (i) the first anniversary of the grant date or (ii) the date of the 2027 Annual Meeting of the Issuer's stockholders, assuming continuous service as a director until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an agreement with OrbiMed Advisors LLC ("Advisors") and OrbiMed Capital GP V LLC ("GP V"), the Reporting Person is obligated to transfer any securities issued under any such stock options or other awards, or the economic benefit thereof, to Advisors and GP V, which will in turn ensure that such securities or economic benefits are provided to OrbiMed Private Investments V, LP. As such, the Reporting Person disclaims beneficial ownership of the securities reported herein for purposes of Rule 16a-1(a) under the Securities Exchange Act of 1934, as amended (the "Exchange Act"), except to the extent of his pecuniary interest therein, if any. This report shall not be deemed an admission that the Reporting Person is a beneficial owner for the purpose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Leiv Lea, as Attorney-in-Fact for Peter A. Thompson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7522" TargetMode="External"/><Relationship Id="rId5" Type="http://schemas.openxmlformats.org/officeDocument/2006/relationships/hyperlink" Target="http://www.sec.gov/cgi-bin/browse-edgar?action=getcompany&amp;CIK=000162697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774</Words>
  <Characters>4122</Characters>
  <CharactersWithSpaces>4834</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