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van den Broek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CORVUS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GATEWAY BOULEVARD, 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Corvus Pharmaceuticals, Inc.</w:t>
              </w:r>
            </w:hyperlink>
            <w:r>
              <w:rPr/>
              <w:t xml:space="preserve"> [ </w:t>
            </w:r>
            <w:r>
              <w:rPr>
                <w:rFonts w:ascii="Times;serif" w:hAnsi="Times;serif"/>
                <w:color w:val="0000FF"/>
                <w:sz w:val="24"/>
                <w:shd w:fill="FFFFFF" w:val="clear"/>
              </w:rPr>
              <w:t>CRVS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underlying shares subject to the option vest and become exercisable as to 100% of the total number of shares subject to the option on the earlier of (i) the first anniversary of the grant date or (ii) the date of the 2027 Annual Meeting of the Issuer's stockholders, assuming continuous service as a director until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Leiv Lea, as Attorney-in-Fact for Richard van den Broek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1872" TargetMode="External"/><Relationship Id="rId5" Type="http://schemas.openxmlformats.org/officeDocument/2006/relationships/hyperlink" Target="http://www.sec.gov/cgi-bin/browse-edgar?action=getcompany&amp;CIK=0001626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3433</Characters>
  <CharactersWithSpaces>4010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