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5" w:before="0" w:after="0"/>
        <w:ind w:left="0" w:right="0" w:hanging="0"/>
        <w:jc w:val="left"/>
        <w:rPr/>
      </w:pPr>
      <w:hyperlink w:anchor="TOC">
        <w:bookmarkStart w:id="0" w:name="crvs-20260630x10q.htm"/>
        <w:bookmarkStart w:id="1" w:name="kscrvs2026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tLeast" w:line="142" w:before="0" w:after="0"/>
        <w:ind w:left="0" w:right="0" w:hanging="0"/>
        <w:jc w:val="right"/>
        <w:rPr>
          <w:rFonts w:ascii="Times New Roman;Times;serif" w:hAnsi="Times New Roman;Times;serif"/>
          <w:b/>
          <w:sz w:val="20"/>
        </w:rPr>
      </w:pPr>
      <w:bookmarkStart w:id="2" w:name="_5f6dddcf_b390_476a_a19c_9926c7826774"/>
      <w:bookmarkEnd w:id="2"/>
      <w:r>
        <w:rPr>
          <w:rFonts w:ascii="Times New Roman;Times;serif" w:hAnsi="Times New Roman;Times;serif"/>
          <w:b/>
          <w:sz w:val="20"/>
        </w:rPr>
        <w:t>-</w:t>
      </w:r>
    </w:p>
    <w:p>
      <w:pPr>
        <w:pStyle w:val="TextBody"/>
        <w:pBdr>
          <w:top w:val="single" w:sz="24" w:space="1" w:color="000000"/>
          <w:bottom w:val="single" w:sz="2"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UNITED STATES</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FORM 10-Q</w:t>
      </w:r>
    </w:p>
    <w:p>
      <w:pPr>
        <w:pStyle w:val="Normal"/>
        <w:bidi w:val="0"/>
        <w:spacing w:before="0" w:after="0"/>
        <w:jc w:val="left"/>
        <w:rPr>
          <w:sz w:val="4"/>
          <w:szCs w:val="4"/>
        </w:rPr>
      </w:pPr>
      <w:r>
        <w:rPr>
          <w:sz w:val="4"/>
          <w:szCs w:val="4"/>
        </w:rPr>
      </w:r>
      <w:bookmarkStart w:id="3" w:name="Tc_phO_1GiSmkitdqlCvgkilQ_3_1"/>
      <w:bookmarkStart w:id="4" w:name="Tc_8iQy-xCCcEaV-slIT-4zzA_2_0"/>
      <w:bookmarkStart w:id="5" w:name="_16605beb_3c72_423d_b009_c97d1323ab9d"/>
      <w:bookmarkStart w:id="6" w:name="Tc_phO_1GiSmkitdqlCvgkilQ_3_1"/>
      <w:bookmarkStart w:id="7" w:name="Tc_8iQy-xCCcEaV-slIT-4zzA_2_0"/>
      <w:bookmarkStart w:id="8" w:name="_16605beb_3c72_423d_b009_c97d1323ab9d"/>
      <w:bookmarkEnd w:id="6"/>
      <w:bookmarkEnd w:id="7"/>
      <w:bookmarkEnd w:id="8"/>
    </w:p>
    <w:tbl>
      <w:tblPr>
        <w:tblW w:w="10205" w:type="dxa"/>
        <w:jc w:val="left"/>
        <w:tblInd w:w="0" w:type="dxa"/>
        <w:tblLayout w:type="fixed"/>
        <w:tblCellMar>
          <w:top w:w="0" w:type="dxa"/>
          <w:left w:w="0" w:type="dxa"/>
          <w:bottom w:w="0" w:type="dxa"/>
          <w:right w:w="0" w:type="dxa"/>
        </w:tblCellMar>
      </w:tblPr>
      <w:tblGrid>
        <w:gridCol w:w="972"/>
        <w:gridCol w:w="9233"/>
      </w:tblGrid>
      <w:tr>
        <w:trP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rPr/>
        <w:tc>
          <w:tcPr>
            <w:tcW w:w="972" w:type="dxa"/>
            <w:tcBorders/>
            <w:vAlign w:val="center"/>
          </w:tcPr>
          <w:p>
            <w:pPr>
              <w:pStyle w:val="TableContents"/>
              <w:bidi w:val="0"/>
              <w:spacing w:before="0" w:after="283"/>
              <w:ind w:left="0" w:right="0" w:hanging="0"/>
              <w:jc w:val="left"/>
              <w:rPr>
                <w:sz w:val="4"/>
                <w:szCs w:val="4"/>
              </w:rPr>
            </w:pPr>
            <w:r>
              <w:rPr>
                <w:sz w:val="4"/>
                <w:szCs w:val="4"/>
              </w:rPr>
            </w:r>
          </w:p>
        </w:tc>
        <w:tc>
          <w:tcPr>
            <w:tcW w:w="9233" w:type="dxa"/>
            <w:tcBorders/>
            <w:vAlign w:val="center"/>
          </w:tcPr>
          <w:p>
            <w:pPr>
              <w:pStyle w:val="TableContents"/>
              <w:bidi w:val="0"/>
              <w:spacing w:before="0" w:after="283"/>
              <w:ind w:left="0" w:right="0" w:hanging="0"/>
              <w:jc w:val="left"/>
              <w:rPr>
                <w:sz w:val="4"/>
                <w:szCs w:val="4"/>
              </w:rPr>
            </w:pPr>
            <w:r>
              <w:rPr>
                <w:sz w:val="4"/>
                <w:szCs w:val="4"/>
              </w:rPr>
            </w:r>
          </w:p>
        </w:tc>
      </w:tr>
      <w:tr>
        <w:trPr/>
        <w:tc>
          <w:tcPr>
            <w:tcW w:w="972"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(Mark One)</w:t>
            </w:r>
          </w:p>
        </w:tc>
        <w:tc>
          <w:tcPr>
            <w:tcW w:w="9233" w:type="dxa"/>
            <w:tcBorders/>
            <w:vAlign w:val="center"/>
          </w:tcPr>
          <w:p>
            <w:pPr>
              <w:pStyle w:val="TableContents"/>
              <w:bidi w:val="0"/>
              <w:spacing w:lineRule="auto" w:line="285" w:before="0" w:after="0"/>
              <w:ind w:left="0" w:right="0" w:hanging="0"/>
              <w:jc w:val="left"/>
              <w:rPr/>
            </w:pPr>
            <w:r>
              <w:rPr/>
              <w:t>​</w:t>
            </w:r>
          </w:p>
        </w:tc>
      </w:tr>
      <w:tr>
        <w:trPr/>
        <w:tc>
          <w:tcPr>
            <w:tcW w:w="972" w:type="dxa"/>
            <w:tcBorders/>
            <w:vAlign w:val="center"/>
          </w:tcPr>
          <w:p>
            <w:pPr>
              <w:pStyle w:val="TableContents"/>
              <w:bidi w:val="0"/>
              <w:spacing w:lineRule="auto" w:line="285" w:before="0" w:after="0"/>
              <w:ind w:left="0" w:right="0" w:hanging="0"/>
              <w:jc w:val="center"/>
              <w:rPr/>
            </w:pPr>
            <w:r>
              <w:rPr/>
              <w:t>☒</w:t>
            </w:r>
          </w:p>
        </w:tc>
        <w:tc>
          <w:tcPr>
            <w:tcW w:w="9233" w:type="dxa"/>
            <w:tcBorders/>
            <w:vAlign w:val="center"/>
          </w:tcPr>
          <w:p>
            <w:pPr>
              <w:pStyle w:val="TableContents"/>
              <w:bidi w:val="0"/>
              <w:spacing w:lineRule="auto" w:line="285" w:before="0" w:after="0"/>
              <w:ind w:left="0" w:right="0" w:hanging="0"/>
              <w:jc w:val="left"/>
              <w:rPr>
                <w:rFonts w:ascii="Times New Roman;Times;serif" w:hAnsi="Times New Roman;Times;serif"/>
                <w:b/>
                <w:sz w:val="24"/>
              </w:rPr>
            </w:pPr>
            <w:r>
              <w:rPr>
                <w:rFonts w:ascii="Times New Roman;Times;serif" w:hAnsi="Times New Roman;Times;serif"/>
                <w:b/>
                <w:sz w:val="24"/>
              </w:rPr>
              <w:t>QUARTERLY REPORT PURSUANT TO SECTION 13 OR 15(d) OF THE SECURITIES EXCHANGE ACT OF 1934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2026</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Normal"/>
        <w:bidi w:val="0"/>
        <w:spacing w:before="0" w:after="0"/>
        <w:jc w:val="left"/>
        <w:rPr>
          <w:sz w:val="4"/>
          <w:szCs w:val="4"/>
        </w:rPr>
      </w:pPr>
      <w:r>
        <w:rPr>
          <w:sz w:val="4"/>
          <w:szCs w:val="4"/>
        </w:rPr>
      </w:r>
      <w:bookmarkStart w:id="9" w:name="Tc_d4SWEanJiUKX8XNuq1YKwA_1_1"/>
      <w:bookmarkStart w:id="10" w:name="_d463563d_0e7c_4972_a1a3_960078333963"/>
      <w:bookmarkStart w:id="11" w:name="Tc_d4SWEanJiUKX8XNuq1YKwA_1_1"/>
      <w:bookmarkStart w:id="12" w:name="_d463563d_0e7c_4972_a1a3_960078333963"/>
      <w:bookmarkEnd w:id="11"/>
      <w:bookmarkEnd w:id="12"/>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ind w:left="0" w:right="0" w:hanging="0"/>
              <w:jc w:val="left"/>
              <w:rPr>
                <w:sz w:val="4"/>
                <w:szCs w:val="4"/>
              </w:rPr>
            </w:pPr>
            <w:r>
              <w:rPr>
                <w:sz w:val="4"/>
                <w:szCs w:val="4"/>
              </w:rPr>
            </w:r>
          </w:p>
        </w:tc>
        <w:tc>
          <w:tcPr>
            <w:tcW w:w="9874" w:type="dxa"/>
            <w:tcBorders/>
            <w:vAlign w:val="center"/>
          </w:tcPr>
          <w:p>
            <w:pPr>
              <w:pStyle w:val="TableContents"/>
              <w:bidi w:val="0"/>
              <w:spacing w:before="0" w:after="283"/>
              <w:ind w:left="0" w:right="0" w:hanging="0"/>
              <w:jc w:val="left"/>
              <w:rPr>
                <w:sz w:val="4"/>
                <w:szCs w:val="4"/>
              </w:rPr>
            </w:pPr>
            <w:r>
              <w:rPr>
                <w:sz w:val="4"/>
                <w:szCs w:val="4"/>
              </w:rPr>
            </w:r>
          </w:p>
        </w:tc>
      </w:tr>
      <w:tr>
        <w:trPr/>
        <w:tc>
          <w:tcPr>
            <w:tcW w:w="331" w:type="dxa"/>
            <w:tcBorders/>
            <w:vAlign w:val="center"/>
          </w:tcPr>
          <w:p>
            <w:pPr>
              <w:pStyle w:val="TableContents"/>
              <w:bidi w:val="0"/>
              <w:spacing w:lineRule="auto" w:line="285" w:before="0" w:after="140"/>
              <w:ind w:left="0" w:right="0" w:hanging="0"/>
              <w:jc w:val="center"/>
              <w:rPr/>
            </w:pPr>
            <w:r>
              <w:rPr/>
              <w:t>☐</w:t>
            </w:r>
          </w:p>
        </w:tc>
        <w:tc>
          <w:tcPr>
            <w:tcW w:w="9874" w:type="dxa"/>
            <w:tcBorders/>
            <w:vAlign w:val="center"/>
          </w:tcPr>
          <w:p>
            <w:pPr>
              <w:pStyle w:val="TableContents"/>
              <w:bidi w:val="0"/>
              <w:spacing w:lineRule="auto" w:line="285" w:before="0" w:after="140"/>
              <w:ind w:left="0" w:right="0" w:hanging="0"/>
              <w:jc w:val="left"/>
              <w:rPr>
                <w:rFonts w:ascii="Times New Roman;Times;serif" w:hAnsi="Times New Roman;Times;serif"/>
                <w:b/>
                <w:sz w:val="24"/>
              </w:rPr>
            </w:pPr>
            <w:r>
              <w:rPr>
                <w:rFonts w:ascii="Times New Roman;Times;serif" w:hAnsi="Times New Roman;Times;serif"/>
                <w:b/>
                <w:sz w:val="24"/>
              </w:rPr>
              <w:t>TRANSITION REPORT PURSUANT TO SECTION 13 OR 15(d) OF THE SECURITIES EXCHANGE ACT OF 1934</w:t>
            </w:r>
          </w:p>
        </w:tc>
      </w:tr>
    </w:tbl>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to</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001-37719</w:t>
      </w:r>
    </w:p>
    <w:p>
      <w:pPr>
        <w:pStyle w:val="TextBody"/>
        <w:bidi w:val="0"/>
        <w:spacing w:lineRule="auto" w:line="285" w:before="0" w:after="0"/>
        <w:ind w:left="0" w:right="0" w:hanging="0"/>
        <w:jc w:val="center"/>
        <w:rPr>
          <w:rFonts w:ascii="Times New Roman;Times;serif" w:hAnsi="Times New Roman;Times;serif"/>
          <w:b/>
          <w:sz w:val="28"/>
        </w:rPr>
      </w:pPr>
      <w:r>
        <w:rPr>
          <w:rFonts w:ascii="Times New Roman;Times;serif" w:hAnsi="Times New Roman;Times;serif"/>
          <w:b/>
          <w:sz w:val="28"/>
        </w:rPr>
        <w:t>Corvus Pharmaceuticals, Inc.</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(Exact name of registrant as specified in its charter)</w:t>
      </w:r>
    </w:p>
    <w:p>
      <w:pPr>
        <w:pStyle w:val="Normal"/>
        <w:bidi w:val="0"/>
        <w:spacing w:before="0" w:after="0"/>
        <w:jc w:val="left"/>
        <w:rPr>
          <w:sz w:val="4"/>
          <w:szCs w:val="4"/>
        </w:rPr>
      </w:pPr>
      <w:r>
        <w:rPr>
          <w:sz w:val="4"/>
          <w:szCs w:val="4"/>
        </w:rPr>
      </w:r>
      <w:bookmarkStart w:id="13" w:name="Tc_G8c-k17BvkGxnUi_E4KaPg_2_2"/>
      <w:bookmarkStart w:id="14" w:name="Tc_WI7-LJIHk0u9-XLIb_xpTQ_2_0"/>
      <w:bookmarkStart w:id="15" w:name="_6de74f18_6174_4703_9cdb_b2c853f8b983"/>
      <w:bookmarkStart w:id="16" w:name="Tc_G8c-k17BvkGxnUi_E4KaPg_2_2"/>
      <w:bookmarkStart w:id="17" w:name="Tc_WI7-LJIHk0u9-XLIb_xpTQ_2_0"/>
      <w:bookmarkStart w:id="18" w:name="_6de74f18_6174_4703_9cdb_b2c853f8b983"/>
      <w:bookmarkEnd w:id="16"/>
      <w:bookmarkEnd w:id="17"/>
      <w:bookmarkEnd w:id="18"/>
    </w:p>
    <w:tbl>
      <w:tblPr>
        <w:tblW w:w="4551" w:type="dxa"/>
        <w:jc w:val="left"/>
        <w:tblInd w:w="0" w:type="dxa"/>
        <w:tblLayout w:type="fixed"/>
        <w:tblCellMar>
          <w:top w:w="0" w:type="dxa"/>
          <w:left w:w="0" w:type="dxa"/>
          <w:bottom w:w="0" w:type="dxa"/>
          <w:right w:w="0" w:type="dxa"/>
        </w:tblCellMar>
      </w:tblPr>
      <w:tblGrid>
        <w:gridCol w:w="2791"/>
        <w:gridCol w:w="109"/>
        <w:gridCol w:w="165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9215" cy="29210"/>
                      <wp:effectExtent l="0" t="0" r="0" b="0"/>
                      <wp:wrapNone/>
                      <wp:docPr id="2" name="Frame2"/>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048385" cy="29210"/>
                      <wp:effectExtent l="0" t="0" r="0" b="0"/>
                      <wp:wrapNone/>
                      <wp:docPr id="3" name="Frame3"/>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46-4670809</w:t>
            </w:r>
          </w:p>
        </w:tc>
      </w:tr>
      <w:tr>
        <w:trPr/>
        <w:tc>
          <w:tcPr>
            <w:tcW w:w="27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(State or other jurisdiction </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65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9" w:name="Tc_0zmgxdUEDkqADudDjwpxEw_2_1"/>
      <w:bookmarkStart w:id="20" w:name="Tc_sK7MTcBwWUa1cVwM-mzz7g_2_0"/>
      <w:bookmarkStart w:id="21" w:name="Tc_8bWYLmJPW0GQz084L2UGZg_1_0"/>
      <w:bookmarkStart w:id="22" w:name="_2bcf8bbe_d280_41cd_81ee_10d88bbe6625"/>
      <w:bookmarkStart w:id="23" w:name="Tc_0zmgxdUEDkqADudDjwpxEw_2_1"/>
      <w:bookmarkStart w:id="24" w:name="Tc_sK7MTcBwWUa1cVwM-mzz7g_2_0"/>
      <w:bookmarkStart w:id="25" w:name="Tc_8bWYLmJPW0GQz084L2UGZg_1_0"/>
      <w:bookmarkStart w:id="26" w:name="_2bcf8bbe_d280_41cd_81ee_10d88bbe6625"/>
      <w:bookmarkEnd w:id="23"/>
      <w:bookmarkEnd w:id="24"/>
      <w:bookmarkEnd w:id="25"/>
      <w:bookmarkEnd w:id="26"/>
    </w:p>
    <w:tbl>
      <w:tblPr>
        <w:tblW w:w="4292" w:type="dxa"/>
        <w:jc w:val="left"/>
        <w:tblInd w:w="0" w:type="dxa"/>
        <w:tblLayout w:type="fixed"/>
        <w:tblCellMar>
          <w:top w:w="0" w:type="dxa"/>
          <w:left w:w="0" w:type="dxa"/>
          <w:bottom w:w="0" w:type="dxa"/>
          <w:right w:w="0" w:type="dxa"/>
        </w:tblCellMar>
      </w:tblPr>
      <w:tblGrid>
        <w:gridCol w:w="3301"/>
        <w:gridCol w:w="991"/>
      </w:tblGrid>
      <w:tr>
        <w:trPr/>
        <w:tc>
          <w:tcPr>
            <w:tcW w:w="3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96135" cy="591820"/>
                      <wp:effectExtent l="0" t="0" r="0" b="0"/>
                      <wp:wrapNone/>
                      <wp:docPr id="4" name="Frame4"/>
                      <a:graphic xmlns:a="http://schemas.openxmlformats.org/drawingml/2006/main">
                        <a:graphicData uri="http://schemas.microsoft.com/office/word/2010/wordprocessingShape">
                          <wps:wsp>
                            <wps:cNvSpPr txBox="1"/>
                            <wps:spPr>
                              <a:xfrm>
                                <a:off x="0" y="0"/>
                                <a:ext cx="2096135" cy="591820"/>
                              </a:xfrm>
                              <a:prstGeom prst="rect"/>
                              <a:solidFill>
                                <a:srgbClr val="FFFFFF"/>
                              </a:solidFill>
                            </wps:spPr>
                            <wps:txb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05pt;height:46.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p>
                            <w:pPr>
                              <w:pStyle w:val="TableContents"/>
                              <w:bidi w:val="0"/>
                              <w:spacing w:lineRule="auto" w:line="285"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29285" cy="29210"/>
                      <wp:effectExtent l="0" t="0" r="0" b="0"/>
                      <wp:wrapNone/>
                      <wp:docPr id="5" name="Frame5"/>
                      <a:graphic xmlns:a="http://schemas.openxmlformats.org/drawingml/2006/main">
                        <a:graphicData uri="http://schemas.microsoft.com/office/word/2010/wordprocessingShape">
                          <wps:wsp>
                            <wps:cNvSpPr txBox="1"/>
                            <wps:spPr>
                              <a:xfrm>
                                <a:off x="0" y="0"/>
                                <a:ext cx="629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901 Gateway Boulevard, Third Floor</w:t>
            </w:r>
          </w:p>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South San Francisco, CA</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94080</w:t>
            </w:r>
          </w:p>
        </w:tc>
      </w:tr>
      <w:tr>
        <w:trPr/>
        <w:tc>
          <w:tcPr>
            <w:tcW w:w="330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 xml:space="preserve">Registrant’s telephone number, including area code: </w:t>
      </w:r>
      <w:r>
        <w:rPr>
          <w:rFonts w:ascii="Times New Roman;Times;serif" w:hAnsi="Times New Roman;Times;serif"/>
          <w:b/>
          <w:sz w:val="20"/>
        </w:rPr>
        <w:t>(650) 900-4520</w:t>
      </w:r>
    </w:p>
    <w:p>
      <w:pPr>
        <w:pStyle w:val="TextBody"/>
        <w:bidi w:val="0"/>
        <w:spacing w:lineRule="auto" w:line="285" w:before="0" w:after="12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 N/A</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27" w:name="Tc_jmWQCmUpeEKGplEl9hFGXg_1_2"/>
      <w:bookmarkStart w:id="28" w:name="Tc_GHfYSBaVRkONlboLZQ2zVQ_1_1"/>
      <w:bookmarkStart w:id="29" w:name="Tc_2qmyowUsxUiQFqqhGfmJag_1_0"/>
      <w:bookmarkStart w:id="30" w:name="_142fd533_b305_4ece_a9e7_3937e6be35c3"/>
      <w:bookmarkStart w:id="31" w:name="Tc_jmWQCmUpeEKGplEl9hFGXg_1_2"/>
      <w:bookmarkStart w:id="32" w:name="Tc_GHfYSBaVRkONlboLZQ2zVQ_1_1"/>
      <w:bookmarkStart w:id="33" w:name="Tc_2qmyowUsxUiQFqqhGfmJag_1_0"/>
      <w:bookmarkStart w:id="34" w:name="_142fd533_b305_4ece_a9e7_3937e6be35c3"/>
      <w:bookmarkEnd w:id="31"/>
      <w:bookmarkEnd w:id="32"/>
      <w:bookmarkEnd w:id="33"/>
      <w:bookmarkEnd w:id="34"/>
    </w:p>
    <w:tbl>
      <w:tblPr>
        <w:tblW w:w="9033" w:type="dxa"/>
        <w:jc w:val="left"/>
        <w:tblInd w:w="0" w:type="dxa"/>
        <w:tblLayout w:type="fixed"/>
        <w:tblCellMar>
          <w:top w:w="0" w:type="dxa"/>
          <w:left w:w="0" w:type="dxa"/>
          <w:bottom w:w="29" w:type="dxa"/>
          <w:right w:w="0" w:type="dxa"/>
        </w:tblCellMar>
      </w:tblPr>
      <w:tblGrid>
        <w:gridCol w:w="3736"/>
        <w:gridCol w:w="1591"/>
        <w:gridCol w:w="3706"/>
      </w:tblGrid>
      <w:tr>
        <w:trPr/>
        <w:tc>
          <w:tcPr>
            <w:tcW w:w="3736" w:type="dxa"/>
            <w:tcBorders>
              <w:bottom w:val="single" w:sz="2" w:space="0" w:color="000000"/>
            </w:tcBorders>
            <w:vAlign w:val="center"/>
          </w:tcPr>
          <w:p>
            <w:pPr>
              <w:pStyle w:val="TableContents"/>
              <w:bidi w:val="0"/>
              <w:spacing w:lineRule="auto" w:line="285" w:before="0" w:after="0"/>
              <w:ind w:left="0" w:right="0" w:hanging="0"/>
              <w:jc w:val="left"/>
              <w:rPr/>
            </w:pPr>
            <w:r>
              <w:rPr/>
              <w:t>​</w:t>
            </w:r>
          </w:p>
        </w:tc>
        <w:tc>
          <w:tcPr>
            <w:tcW w:w="1591" w:type="dxa"/>
            <w:tcBorders>
              <w:bottom w:val="single" w:sz="2" w:space="0" w:color="000000"/>
            </w:tcBorders>
            <w:vAlign w:val="center"/>
          </w:tcPr>
          <w:p>
            <w:pPr>
              <w:pStyle w:val="TableContents"/>
              <w:bidi w:val="0"/>
              <w:spacing w:lineRule="auto" w:line="285" w:before="0" w:after="0"/>
              <w:ind w:left="0" w:right="0" w:hanging="0"/>
              <w:jc w:val="left"/>
              <w:rPr/>
            </w:pPr>
            <w:r>
              <w:rPr/>
              <w:t>​</w:t>
            </w:r>
          </w:p>
        </w:tc>
        <w:tc>
          <w:tcPr>
            <w:tcW w:w="3706" w:type="dxa"/>
            <w:tcBorders>
              <w:bottom w:val="single" w:sz="2" w:space="0" w:color="000000"/>
            </w:tcBorders>
            <w:vAlign w:val="center"/>
          </w:tcPr>
          <w:p>
            <w:pPr>
              <w:pStyle w:val="TableContents"/>
              <w:bidi w:val="0"/>
              <w:spacing w:lineRule="auto" w:line="285" w:before="0" w:after="0"/>
              <w:ind w:left="0" w:right="0" w:hanging="0"/>
              <w:jc w:val="left"/>
              <w:rPr/>
            </w:pPr>
            <w:r>
              <w:rPr/>
              <w:t>​</w:t>
            </w:r>
          </w:p>
        </w:tc>
      </w:tr>
      <w:tr>
        <w:trP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373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$0.0001 per share</w:t>
            </w:r>
          </w:p>
        </w:tc>
        <w:tc>
          <w:tcPr>
            <w:tcW w:w="1591"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CRVS</w:t>
            </w:r>
          </w:p>
        </w:tc>
        <w:tc>
          <w:tcPr>
            <w:tcW w:w="3706" w:type="dxa"/>
            <w:tcBorders>
              <w:top w:val="single" w:sz="2" w:space="0" w:color="000000"/>
              <w:left w:val="single" w:sz="2" w:space="0" w:color="000000"/>
              <w:bottom w:val="single" w:sz="2" w:space="0" w:color="000000"/>
              <w:right w:val="single" w:sz="2" w:space="0" w:color="000000"/>
            </w:tcBorders>
            <w:tcMar>
              <w:top w:w="29" w:type="dxa"/>
              <w:left w:w="28" w:type="dxa"/>
              <w:right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Nasdaq Global Market</w:t>
            </w:r>
          </w:p>
        </w:tc>
      </w:tr>
    </w:tbl>
    <w:p>
      <w:pPr>
        <w:pStyle w:val="TextBody"/>
        <w:bidi w:val="0"/>
        <w:spacing w:lineRule="auto" w:line="285" w:before="0" w:after="0"/>
        <w:ind w:left="0" w:right="0" w:hanging="0"/>
        <w:jc w:val="left"/>
        <w:rPr/>
      </w:pPr>
      <w:r>
        <w:rPr/>
        <w:t>​</w:t>
      </w:r>
    </w:p>
    <w:p>
      <w:pPr>
        <w:pStyle w:val="TextBody"/>
        <w:bidi w:val="0"/>
        <w:spacing w:lineRule="auto" w:line="285" w:before="0" w:after="14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5" w:before="0" w:after="10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132" w:type="dxa"/>
        <w:jc w:val="left"/>
        <w:tblInd w:w="0" w:type="dxa"/>
        <w:tblLayout w:type="fixed"/>
        <w:tblCellMar>
          <w:top w:w="0" w:type="dxa"/>
          <w:left w:w="0" w:type="dxa"/>
          <w:bottom w:w="0" w:type="dxa"/>
          <w:right w:w="0" w:type="dxa"/>
        </w:tblCellMar>
      </w:tblPr>
      <w:tblGrid>
        <w:gridCol w:w="2551"/>
        <w:gridCol w:w="2581"/>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619885" cy="29210"/>
                      <wp:effectExtent l="0" t="0" r="0" b="0"/>
                      <wp:wrapNone/>
                      <wp:docPr id="6" name="Frame6"/>
                      <a:graphic xmlns:a="http://schemas.openxmlformats.org/drawingml/2006/main">
                        <a:graphicData uri="http://schemas.microsoft.com/office/word/2010/wordprocessingShape">
                          <wps:wsp>
                            <wps:cNvSpPr txBox="1"/>
                            <wps:spPr>
                              <a:xfrm>
                                <a:off x="0" y="0"/>
                                <a:ext cx="1619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638935" cy="29210"/>
                      <wp:effectExtent l="0" t="0" r="0" b="0"/>
                      <wp:wrapNone/>
                      <wp:docPr id="7" name="Frame7"/>
                      <a:graphic xmlns:a="http://schemas.openxmlformats.org/drawingml/2006/main">
                        <a:graphicData uri="http://schemas.microsoft.com/office/word/2010/wordprocessingShape">
                          <wps:wsp>
                            <wps:cNvSpPr txBox="1"/>
                            <wps:spPr>
                              <a:xfrm>
                                <a:off x="0" y="0"/>
                                <a:ext cx="163893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Large accelerated filer ☐</w:t>
            </w:r>
          </w:p>
        </w:tc>
        <w:tc>
          <w:tcPr>
            <w:tcW w:w="2581" w:type="dxa"/>
            <w:tcBorders/>
            <w:vAlign w:val="center"/>
          </w:tcPr>
          <w:p>
            <w:pPr>
              <w:pStyle w:val="TableContents"/>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Accelerated filer ☐</w:t>
            </w:r>
          </w:p>
        </w:tc>
      </w:tr>
      <w:tr>
        <w:trPr/>
        <w:tc>
          <w:tcPr>
            <w:tcW w:w="2551" w:type="dxa"/>
            <w:tcBorders/>
            <w:vAlign w:val="center"/>
          </w:tcPr>
          <w:p>
            <w:pPr>
              <w:pStyle w:val="TableContents"/>
              <w:pBdr/>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Non-accelerated filer ☒</w:t>
            </w:r>
          </w:p>
        </w:tc>
        <w:tc>
          <w:tcPr>
            <w:tcW w:w="2581" w:type="dxa"/>
            <w:tcBorders/>
            <w:vAlign w:val="center"/>
          </w:tcPr>
          <w:p>
            <w:pPr>
              <w:pStyle w:val="TableContents"/>
              <w:bidi w:val="0"/>
              <w:spacing w:lineRule="auto" w:line="285" w:before="0" w:after="140"/>
              <w:ind w:left="0" w:right="0" w:hanging="0"/>
              <w:jc w:val="center"/>
              <w:rPr>
                <w:rFonts w:ascii="Times New Roman;Times;serif" w:hAnsi="Times New Roman;Times;serif"/>
                <w:sz w:val="20"/>
              </w:rPr>
            </w:pPr>
            <w:r>
              <w:rPr>
                <w:rFonts w:ascii="Times New Roman;Times;serif" w:hAnsi="Times New Roman;Times;serif"/>
                <w:sz w:val="20"/>
              </w:rPr>
              <w:t>Smaller reporting company ☒</w:t>
            </w:r>
          </w:p>
        </w:tc>
      </w:tr>
      <w:tr>
        <w:trPr/>
        <w:tc>
          <w:tcPr>
            <w:tcW w:w="2551" w:type="dxa"/>
            <w:tcBorders/>
            <w:vAlign w:val="center"/>
          </w:tcPr>
          <w:p>
            <w:pPr>
              <w:pStyle w:val="TableContents"/>
              <w:pBdr/>
              <w:bidi w:val="0"/>
              <w:spacing w:lineRule="auto" w:line="285" w:before="0" w:after="80"/>
              <w:ind w:left="0" w:right="0" w:hanging="0"/>
              <w:jc w:val="center"/>
              <w:rPr>
                <w:rFonts w:ascii="Times New Roman;Times;serif" w:hAnsi="Times New Roman;Times;serif"/>
                <w:sz w:val="20"/>
              </w:rPr>
            </w:pPr>
            <w:r>
              <w:rPr>
                <w:rFonts w:ascii="Times New Roman;Times;serif" w:hAnsi="Times New Roman;Times;serif"/>
                <w:sz w:val="20"/>
              </w:rPr>
              <w:t>Emerging growth company ☐</w:t>
            </w:r>
          </w:p>
        </w:tc>
        <w:tc>
          <w:tcPr>
            <w:tcW w:w="2581" w:type="dxa"/>
            <w:tcBorders/>
            <w:vAlign w:val="center"/>
          </w:tcPr>
          <w:p>
            <w:pPr>
              <w:pStyle w:val="TableContents"/>
              <w:bidi w:val="0"/>
              <w:spacing w:lineRule="auto" w:line="285" w:before="0" w:after="0"/>
              <w:ind w:left="0" w:right="0" w:hanging="0"/>
              <w:jc w:val="center"/>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8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lineRule="auto" w:line="285" w:before="0" w:after="60"/>
        <w:ind w:left="0" w:right="0" w:hanging="0"/>
        <w:jc w:val="left"/>
        <w:rPr>
          <w:rFonts w:ascii="Times New Roman;Times;serif" w:hAnsi="Times New Roman;Times;serif"/>
          <w:sz w:val="20"/>
        </w:rPr>
      </w:pPr>
      <w:r>
        <w:rPr>
          <w:rFonts w:ascii="Times New Roman;Times;serif" w:hAnsi="Times New Roman;Times;serif"/>
          <w:sz w:val="20"/>
        </w:rPr>
        <w:t>As of August 6, 2026, 84,120,944 shares of the registrant’s common stock, $0.0001 par value per share, were outstanding.</w:t>
      </w:r>
    </w:p>
    <w:p>
      <w:pPr>
        <w:pStyle w:val="TextBody"/>
        <w:pBdr>
          <w:top w:val="single" w:sz="2" w:space="1" w:color="000000"/>
          <w:bottom w:val="single" w:sz="24" w:space="1" w:color="000000"/>
        </w:pBdr>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5" w:name="_aa06e5af_4b96_4ccd_ab57_7ce0017f9378"/>
      <w:bookmarkEnd w:id="35"/>
      <w:r>
        <w:rPr>
          <w:rFonts w:ascii="Times New Roman;Times;serif" w:hAnsi="Times New Roman;Times;serif"/>
          <w:b/>
          <w:sz w:val="20"/>
        </w:rPr>
        <w:t>CORVUS PHARMACEUTICALS,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QUARTERLY REPORT ON FORM 10-Q FOR THE QUARTER ENDED JUNE 30, 2026</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36" w:name="TOC"/>
      <w:bookmarkEnd w:id="36"/>
      <w:r>
        <w:rPr>
          <w:rFonts w:ascii="Times New Roman;Times;serif" w:hAnsi="Times New Roman;Times;serif"/>
          <w:b/>
          <w:sz w:val="20"/>
        </w:rPr>
        <w:t>TABLE OF CONTENTS</w:t>
      </w:r>
    </w:p>
    <w:p>
      <w:pPr>
        <w:pStyle w:val="TextBody"/>
        <w:bidi w:val="0"/>
        <w:spacing w:lineRule="auto" w:line="285" w:before="0" w:after="0"/>
        <w:ind w:left="0" w:right="0" w:hanging="0"/>
        <w:jc w:val="center"/>
        <w:rPr/>
      </w:pPr>
      <w:r>
        <w:rPr/>
        <w:t>​</w:t>
      </w:r>
    </w:p>
    <w:tbl>
      <w:tblPr>
        <w:tblW w:w="8884" w:type="dxa"/>
        <w:jc w:val="left"/>
        <w:tblInd w:w="0" w:type="dxa"/>
        <w:tblLayout w:type="fixed"/>
        <w:tblCellMar>
          <w:top w:w="0" w:type="dxa"/>
          <w:left w:w="0" w:type="dxa"/>
          <w:bottom w:w="0" w:type="dxa"/>
          <w:right w:w="0" w:type="dxa"/>
        </w:tblCellMar>
      </w:tblPr>
      <w:tblGrid>
        <w:gridCol w:w="811"/>
        <w:gridCol w:w="346"/>
        <w:gridCol w:w="7366"/>
        <w:gridCol w:w="361"/>
      </w:tblGrid>
      <w:tr>
        <w:trPr/>
        <w:tc>
          <w:tcPr>
            <w:tcW w:w="8884" w:type="dxa"/>
            <w:gridSpan w:val="4"/>
            <w:tcBorders/>
            <w:vAlign w:val="center"/>
          </w:tcPr>
          <w:p>
            <w:pPr>
              <w:pStyle w:val="TableContents"/>
              <w:bidi w:val="0"/>
              <w:spacing w:lineRule="auto" w:line="285" w:before="0" w:after="0"/>
              <w:ind w:left="0" w:right="0" w:hanging="0"/>
              <w:jc w:val="center"/>
              <w:rPr/>
            </w:pPr>
            <w:hyperlink w:anchor="PARTIFINANCIALINFORMATION_671322">
              <w:r>
                <w:rPr>
                  <w:rStyle w:val="InternetLink"/>
                  <w:rFonts w:ascii="Times New Roman;Times;serif" w:hAnsi="Times New Roman;Times;serif"/>
                  <w:b/>
                  <w:i w:val="false"/>
                  <w:caps w:val="false"/>
                  <w:smallCaps w:val="false"/>
                  <w:sz w:val="20"/>
                </w:rPr>
                <w:t>PART I — FINANCIAL INFORMATION</w:t>
              </w:r>
            </w:hyperlink>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11" w:type="dxa"/>
            <w:tcBorders/>
            <w:vAlign w:val="center"/>
          </w:tcPr>
          <w:p>
            <w:pPr>
              <w:pStyle w:val="TableContents"/>
              <w:bidi w:val="0"/>
              <w:spacing w:lineRule="auto" w:line="285" w:before="0" w:after="0"/>
              <w:ind w:left="0" w:right="0" w:hanging="0"/>
              <w:jc w:val="left"/>
              <w:rPr/>
            </w:pPr>
            <w:hyperlink w:anchor="Item1UnauditedCondensedFinancialStatemen">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rPr/>
            </w:pPr>
            <w:r>
              <w:rPr/>
              <w:t>  ​ ​ ​</w:t>
            </w:r>
          </w:p>
        </w:tc>
        <w:tc>
          <w:tcPr>
            <w:tcW w:w="7366" w:type="dxa"/>
            <w:tcBorders/>
            <w:vAlign w:val="center"/>
          </w:tcPr>
          <w:p>
            <w:pPr>
              <w:pStyle w:val="TableContents"/>
              <w:bidi w:val="0"/>
              <w:spacing w:lineRule="auto" w:line="285" w:before="0" w:after="0"/>
              <w:ind w:left="0" w:right="0" w:hanging="0"/>
              <w:jc w:val="left"/>
              <w:rPr/>
            </w:pPr>
            <w:hyperlink w:anchor="Item1UnauditedCondensedFinancialStatemen">
              <w:r>
                <w:rPr>
                  <w:rStyle w:val="InternetLink"/>
                  <w:rFonts w:ascii="Times New Roman;Times;serif" w:hAnsi="Times New Roman;Times;serif"/>
                  <w:b w:val="false"/>
                  <w:i w:val="false"/>
                  <w:caps w:val="false"/>
                  <w:smallCaps w:val="false"/>
                  <w:sz w:val="20"/>
                </w:rPr>
                <w:t>Financial Statements (unaudited)</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CONDENSEDCONSOLIDATEDBALANCESHEETS_89276">
              <w:r>
                <w:rPr>
                  <w:rStyle w:val="InternetLink"/>
                  <w:rFonts w:ascii="Times New Roman;Times;serif" w:hAnsi="Times New Roman;Times;serif"/>
                  <w:b w:val="false"/>
                  <w:i w:val="false"/>
                  <w:caps w:val="false"/>
                  <w:smallCaps w:val="false"/>
                  <w:sz w:val="20"/>
                </w:rPr>
                <w:t>Condensed Consolidated Balance Sheets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and Comprehensive Loss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STOCKHOLDERSEQUITY_96157">
              <w:r>
                <w:rPr>
                  <w:rStyle w:val="InternetLink"/>
                  <w:rFonts w:ascii="Times New Roman;Times;serif" w:hAnsi="Times New Roman;Times;serif"/>
                  <w:b w:val="false"/>
                  <w:i w:val="false"/>
                  <w:caps w:val="false"/>
                  <w:smallCaps w:val="false"/>
                  <w:sz w:val="20"/>
                </w:rPr>
                <w:t>Condensed Consolidated Statements of Changes in Stockholders’ Equity</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STATEMENTSOFCASHFLOWS_192557">
              <w:r>
                <w:rPr>
                  <w:rStyle w:val="InternetLink"/>
                  <w:rFonts w:ascii="Times New Roman;Times;serif" w:hAnsi="Times New Roman;Times;serif"/>
                  <w:b w:val="false"/>
                  <w:i w:val="false"/>
                  <w:caps w:val="false"/>
                  <w:smallCaps w:val="false"/>
                  <w:sz w:val="20"/>
                </w:rPr>
                <w:t>Condensed Consolidated Statements of Cash Flows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NOTESTOCONDENSEDCONSOLIDATEDFINANCIALSTA">
              <w:r>
                <w:rPr>
                  <w:rStyle w:val="InternetLink"/>
                  <w:rFonts w:ascii="Times New Roman;Times;serif" w:hAnsi="Times New Roman;Times;serif"/>
                  <w:b w:val="false"/>
                  <w:i w:val="false"/>
                  <w:caps w:val="false"/>
                  <w:smallCaps w:val="false"/>
                  <w:sz w:val="20"/>
                </w:rPr>
                <w:t>Notes to Condensed Consolidated Financial Statements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811"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811" w:type="dxa"/>
            <w:tcBorders/>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uto" w:line="285" w:before="0" w:after="0"/>
              <w:ind w:left="0" w:right="0" w:hanging="0"/>
              <w:jc w:val="left"/>
              <w:rPr/>
            </w:pPr>
            <w:hyperlink w:anchor="Item4ControlsandProcedures_996727">
              <w:r>
                <w:rPr>
                  <w:rStyle w:val="InternetLink"/>
                  <w:rFonts w:ascii="Times New Roman;Times;serif" w:hAnsi="Times New Roman;Times;serif"/>
                  <w:b w:val="false"/>
                  <w:i w:val="false"/>
                  <w:caps w:val="false"/>
                  <w:smallCaps w:val="false"/>
                  <w:sz w:val="20"/>
                </w:rPr>
                <w:t>Item 4</w:t>
              </w:r>
            </w:hyperlink>
            <w:r>
              <w:rPr>
                <w:rFonts w:ascii="Times New Roman;Times;serif" w:hAnsi="Times New Roman;Times;serif"/>
                <w:sz w:val="20"/>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4ControlsandProcedures_996727">
              <w:r>
                <w:rPr>
                  <w:rStyle w:val="InternetLink"/>
                  <w:rFonts w:ascii="Times New Roman;Times;serif" w:hAnsi="Times New Roman;Times;serif"/>
                  <w:b w:val="false"/>
                  <w:i w:val="false"/>
                  <w:caps w:val="false"/>
                  <w:smallCaps w:val="false"/>
                  <w:sz w:val="20"/>
                </w:rPr>
                <w:t>Controls and Procedures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884" w:type="dxa"/>
            <w:gridSpan w:val="4"/>
            <w:tcBorders/>
            <w:vAlign w:val="center"/>
          </w:tcPr>
          <w:p>
            <w:pPr>
              <w:pStyle w:val="TableContents"/>
              <w:bidi w:val="0"/>
              <w:spacing w:lineRule="auto" w:line="285" w:before="0" w:after="0"/>
              <w:ind w:left="0" w:right="0" w:hanging="0"/>
              <w:jc w:val="center"/>
              <w:rPr/>
            </w:pPr>
            <w:hyperlink w:anchor="PARTIIOTHERINFORMATION_177066">
              <w:r>
                <w:rPr>
                  <w:rStyle w:val="InternetLink"/>
                  <w:rFonts w:ascii="Times New Roman;Times;serif" w:hAnsi="Times New Roman;Times;serif"/>
                  <w:b/>
                  <w:i w:val="false"/>
                  <w:caps w:val="false"/>
                  <w:smallCaps w:val="false"/>
                  <w:sz w:val="20"/>
                </w:rPr>
                <w:t>PART II — OTHER INFORMATION</w:t>
              </w:r>
            </w:hyperlink>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11" w:type="dxa"/>
            <w:tcBorders/>
            <w:vAlign w:val="center"/>
          </w:tcPr>
          <w:p>
            <w:pPr>
              <w:pStyle w:val="TableContents"/>
              <w:bidi w:val="0"/>
              <w:spacing w:lineRule="auto" w:line="285" w:before="0" w:after="0"/>
              <w:ind w:left="0" w:right="0" w:hanging="0"/>
              <w:jc w:val="left"/>
              <w:rPr/>
            </w:pPr>
            <w:hyperlink w:anchor="Item1LegalProceedings_213471">
              <w:r>
                <w:rPr>
                  <w:rStyle w:val="InternetLink"/>
                  <w:rFonts w:ascii="Times New Roman;Times;serif" w:hAnsi="Times New Roman;Times;serif"/>
                  <w:b w:val="false"/>
                  <w:i w:val="false"/>
                  <w:caps w:val="false"/>
                  <w:smallCaps w:val="false"/>
                  <w:sz w:val="20"/>
                </w:rPr>
                <w:t>Item 1.</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1LegalProceedings_213471">
              <w:r>
                <w:rPr>
                  <w:rStyle w:val="InternetLink"/>
                  <w:rFonts w:ascii="Times New Roman;Times;serif" w:hAnsi="Times New Roman;Times;serif"/>
                  <w:b w:val="false"/>
                  <w:i w:val="false"/>
                  <w:caps w:val="false"/>
                  <w:smallCaps w:val="false"/>
                  <w:sz w:val="20"/>
                </w:rPr>
                <w:t>Legal Proceedings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lineRule="auto" w:line="285"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Item 1A.</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RiskFactors">
              <w:r>
                <w:rPr>
                  <w:rStyle w:val="InternetLink"/>
                  <w:rFonts w:ascii="Times New Roman;Times;serif" w:hAnsi="Times New Roman;Times;serif"/>
                  <w:b w:val="false"/>
                  <w:i w:val="false"/>
                  <w:caps w:val="false"/>
                  <w:smallCaps w:val="false"/>
                  <w:sz w:val="20"/>
                </w:rPr>
                <w:t>Risk Factors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w:t>
            </w:r>
          </w:p>
        </w:tc>
      </w:tr>
      <w:tr>
        <w:trPr/>
        <w:tc>
          <w:tcPr>
            <w:tcW w:w="811" w:type="dxa"/>
            <w:tcBorders/>
            <w:vAlign w:val="center"/>
          </w:tcPr>
          <w:p>
            <w:pPr>
              <w:pStyle w:val="TableContents"/>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Unregistered Sales of Equity Securities and Use of Proceeds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lineRule="auto" w:line="285" w:before="0" w:after="0"/>
              <w:ind w:left="0" w:right="0" w:hanging="0"/>
              <w:jc w:val="left"/>
              <w:rPr/>
            </w:pPr>
            <w:hyperlink w:anchor="Item3DefaultsUponSeniorSecurities_526790">
              <w:r>
                <w:rPr>
                  <w:rStyle w:val="InternetLink"/>
                  <w:rFonts w:ascii="Times New Roman;Times;serif" w:hAnsi="Times New Roman;Times;serif"/>
                  <w:b w:val="false"/>
                  <w:i w:val="false"/>
                  <w:caps w:val="false"/>
                  <w:smallCaps w:val="false"/>
                  <w:sz w:val="20"/>
                </w:rPr>
                <w:t>Item 3.</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3DefaultsUponSeniorSecurities_526790">
              <w:r>
                <w:rPr>
                  <w:rStyle w:val="InternetLink"/>
                  <w:rFonts w:ascii="Times New Roman;Times;serif" w:hAnsi="Times New Roman;Times;serif"/>
                  <w:b w:val="false"/>
                  <w:i w:val="false"/>
                  <w:caps w:val="false"/>
                  <w:smallCaps w:val="false"/>
                  <w:sz w:val="20"/>
                </w:rPr>
                <w:t>Defaults Upon Senior Securities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lineRule="auto" w:line="285" w:before="0" w:after="0"/>
              <w:ind w:left="0" w:right="0" w:hanging="0"/>
              <w:jc w:val="left"/>
              <w:rPr/>
            </w:pPr>
            <w:hyperlink w:anchor="Item4MineSafetyDisclosures_600075">
              <w:r>
                <w:rPr>
                  <w:rStyle w:val="InternetLink"/>
                  <w:rFonts w:ascii="Times New Roman;Times;serif" w:hAnsi="Times New Roman;Times;serif"/>
                  <w:b w:val="false"/>
                  <w:i w:val="false"/>
                  <w:caps w:val="false"/>
                  <w:smallCaps w:val="false"/>
                  <w:sz w:val="20"/>
                </w:rPr>
                <w:t>Item 4.</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4MineSafetyDisclosures_600075">
              <w:r>
                <w:rPr>
                  <w:rStyle w:val="InternetLink"/>
                  <w:rFonts w:ascii="Times New Roman;Times;serif" w:hAnsi="Times New Roman;Times;serif"/>
                  <w:b w:val="false"/>
                  <w:i w:val="false"/>
                  <w:caps w:val="false"/>
                  <w:smallCaps w:val="false"/>
                  <w:sz w:val="20"/>
                </w:rPr>
                <w:t>Mine Safety Disclosures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w:t>
            </w:r>
          </w:p>
        </w:tc>
      </w:tr>
      <w:tr>
        <w:trPr/>
        <w:tc>
          <w:tcPr>
            <w:tcW w:w="811" w:type="dxa"/>
            <w:tcBorders/>
            <w:vAlign w:val="center"/>
          </w:tcPr>
          <w:p>
            <w:pPr>
              <w:pStyle w:val="TableContents"/>
              <w:bidi w:val="0"/>
              <w:spacing w:lineRule="auto" w:line="285" w:before="0" w:after="0"/>
              <w:ind w:left="0" w:right="0" w:hanging="0"/>
              <w:jc w:val="left"/>
              <w:rPr/>
            </w:pPr>
            <w:hyperlink w:anchor="Item5OtherInformation_876990">
              <w:r>
                <w:rPr>
                  <w:rStyle w:val="InternetLink"/>
                  <w:rFonts w:ascii="Times New Roman;Times;serif" w:hAnsi="Times New Roman;Times;serif"/>
                  <w:b w:val="false"/>
                  <w:i w:val="false"/>
                  <w:caps w:val="false"/>
                  <w:smallCaps w:val="false"/>
                  <w:sz w:val="20"/>
                </w:rPr>
                <w:t>Item 5.</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5OtherInformation_876990">
              <w:r>
                <w:rPr>
                  <w:rStyle w:val="InternetLink"/>
                  <w:rFonts w:ascii="Times New Roman;Times;serif" w:hAnsi="Times New Roman;Times;serif"/>
                  <w:b w:val="false"/>
                  <w:i w:val="false"/>
                  <w:caps w:val="false"/>
                  <w:smallCaps w:val="false"/>
                  <w:sz w:val="20"/>
                </w:rPr>
                <w:t>Other Information</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vAlign w:val="center"/>
          </w:tcPr>
          <w:p>
            <w:pPr>
              <w:pStyle w:val="TableContents"/>
              <w:bidi w:val="0"/>
              <w:spacing w:lineRule="auto" w:line="285" w:before="0" w:after="0"/>
              <w:ind w:left="0" w:right="0" w:hanging="0"/>
              <w:jc w:val="left"/>
              <w:rPr/>
            </w:pPr>
            <w:hyperlink w:anchor="Item6Exhibits_350365">
              <w:r>
                <w:rPr>
                  <w:rStyle w:val="InternetLink"/>
                  <w:rFonts w:ascii="Times New Roman;Times;serif" w:hAnsi="Times New Roman;Times;serif"/>
                  <w:b w:val="false"/>
                  <w:i w:val="false"/>
                  <w:caps w:val="false"/>
                  <w:smallCaps w:val="false"/>
                  <w:sz w:val="20"/>
                </w:rPr>
                <w:t>Item 6.</w:t>
              </w:r>
            </w:hyperlink>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hyperlink w:anchor="Item6Exhibits_350365">
              <w:r>
                <w:rPr>
                  <w:rStyle w:val="InternetLink"/>
                  <w:rFonts w:ascii="Times New Roman;Times;serif" w:hAnsi="Times New Roman;Times;serif"/>
                  <w:b w:val="false"/>
                  <w:i w:val="false"/>
                  <w:caps w:val="false"/>
                  <w:smallCaps w:val="false"/>
                  <w:sz w:val="20"/>
                </w:rPr>
                <w:t>Exhibits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w:t>
            </w:r>
          </w:p>
        </w:tc>
      </w:tr>
      <w:tr>
        <w:trPr/>
        <w:tc>
          <w:tcPr>
            <w:tcW w:w="81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366" w:type="dxa"/>
            <w:tcBorders/>
            <w:vAlign w:val="center"/>
          </w:tcPr>
          <w:p>
            <w:pPr>
              <w:pStyle w:val="TableContents"/>
              <w:bidi w:val="0"/>
              <w:spacing w:lineRule="auto" w:line="285" w:before="0" w:after="0"/>
              <w:ind w:left="0" w:right="0" w:hanging="0"/>
              <w:jc w:val="left"/>
              <w:rPr/>
            </w:pPr>
            <w:r>
              <w:rPr/>
              <w:t>​</w:t>
            </w:r>
          </w:p>
        </w:tc>
        <w:tc>
          <w:tcPr>
            <w:tcW w:w="361" w:type="dxa"/>
            <w:tcBorders/>
            <w:vAlign w:val="center"/>
          </w:tcPr>
          <w:p>
            <w:pPr>
              <w:pStyle w:val="TableContents"/>
              <w:bidi w:val="0"/>
              <w:spacing w:lineRule="auto" w:line="285" w:before="0" w:after="0"/>
              <w:ind w:left="0" w:right="0" w:hanging="0"/>
              <w:jc w:val="right"/>
              <w:rPr/>
            </w:pPr>
            <w:r>
              <w:rPr/>
              <w:t>​</w:t>
            </w:r>
          </w:p>
        </w:tc>
      </w:tr>
      <w:tr>
        <w:trPr/>
        <w:tc>
          <w:tcPr>
            <w:tcW w:w="8523" w:type="dxa"/>
            <w:gridSpan w:val="3"/>
            <w:tcBorders/>
            <w:vAlign w:val="center"/>
          </w:tcPr>
          <w:p>
            <w:pPr>
              <w:pStyle w:val="TableContents"/>
              <w:bidi w:val="0"/>
              <w:spacing w:lineRule="auto" w:line="285" w:before="0" w:after="0"/>
              <w:ind w:left="0" w:right="0" w:hanging="0"/>
              <w:jc w:val="left"/>
              <w:rPr/>
            </w:pPr>
            <w:hyperlink w:anchor="SIGNATURES_676454">
              <w:r>
                <w:rPr>
                  <w:rStyle w:val="InternetLink"/>
                  <w:rFonts w:ascii="Times New Roman;Times;serif" w:hAnsi="Times New Roman;Times;serif"/>
                  <w:b w:val="false"/>
                  <w:i w:val="false"/>
                  <w:caps w:val="false"/>
                  <w:smallCaps w:val="false"/>
                  <w:sz w:val="20"/>
                </w:rPr>
                <w:t>SIGNATURES</w:t>
              </w:r>
            </w:hyperlink>
          </w:p>
        </w:tc>
        <w:tc>
          <w:tcPr>
            <w:tcW w:w="3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37" w:name="PARTIFINANCIALINFORMATION_671322"/>
      <w:bookmarkStart w:id="38" w:name="_9cc402a5_dece_4709_89ce_4969957c65c2"/>
      <w:bookmarkEnd w:id="37"/>
      <w:bookmarkEnd w:id="38"/>
      <w:r>
        <w:rPr>
          <w:rFonts w:ascii="Times New Roman;Times;serif" w:hAnsi="Times New Roman;Times;serif"/>
          <w:b/>
          <w:sz w:val="20"/>
        </w:rPr>
        <w:t>PART I - FINANCIAL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39" w:name="Item1UnauditedCondensedFinancialStatemen"/>
      <w:bookmarkEnd w:id="39"/>
      <w:r>
        <w:rPr>
          <w:rFonts w:ascii="Times New Roman;Times;serif" w:hAnsi="Times New Roman;Times;serif"/>
          <w:b/>
          <w:sz w:val="20"/>
        </w:rPr>
        <w:t>Item 1. Unaudited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40" w:name="CONDENSEDCONSOLIDATEDBALANCESHEETS_89276"/>
      <w:bookmarkEnd w:id="40"/>
      <w:r>
        <w:rPr>
          <w:rFonts w:ascii="Times New Roman;Times;serif" w:hAnsi="Times New Roman;Times;serif"/>
          <w:b/>
          <w:sz w:val="20"/>
        </w:rPr>
        <w:t>CONDENSED CONSOLIDATED BALANCE SHEETS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41" w:name="Tc_MrKFV1SVOUm4OFm9fqIxMw_32_5"/>
      <w:bookmarkStart w:id="42" w:name="Tc_dftIRb7qDkKAvmFQY1lHOA_32_2"/>
      <w:bookmarkStart w:id="43" w:name="Tc_phMyKeKlNUGJud4PO3dppw_32_0"/>
      <w:bookmarkStart w:id="44" w:name="Tc_eexoe6ApBUaxOUUFSaop5w_31_0"/>
      <w:bookmarkStart w:id="45" w:name="Tc_Pvc4n5X66kyalpk3B3YH9g_30_0"/>
      <w:bookmarkStart w:id="46" w:name="Tc_z59zldKljkqTRlnbQtoEJw_29_0"/>
      <w:bookmarkStart w:id="47" w:name="Tc_oKWOmbyOJEywK-RM9_q1xg_28_0"/>
      <w:bookmarkStart w:id="48" w:name="Tc_nA2S7WTcYE2KA_LWmBZm-w_27_0"/>
      <w:bookmarkStart w:id="49" w:name="Tc_i9hLaWv9R0CPfNZnDi2eKw_26_0"/>
      <w:bookmarkStart w:id="50" w:name="Tc_36_yLeoRTkCJ_KjEWJRjxg_25_0"/>
      <w:bookmarkStart w:id="51" w:name="Tc_EX54iZcdiE-S8H8q8_v5qA_24_0"/>
      <w:bookmarkStart w:id="52" w:name="Tc_r_iEJEk_I02diYB71jggBg_23_0"/>
      <w:bookmarkStart w:id="53" w:name="Tc_EWEuz6IwQ02d1agzBNybbg_22_0"/>
      <w:bookmarkStart w:id="54" w:name="Tc_gLVi4U4jYkK6AXLEvCZsBQ_21_0"/>
      <w:bookmarkStart w:id="55" w:name="Tc_7F8l6C1l7UK-4i9tB1_zsQ_20_0"/>
      <w:bookmarkStart w:id="56" w:name="Tc_TVMbE2RtvU-0qb6G5dJZ3Q_19_0"/>
      <w:bookmarkStart w:id="57" w:name="Tc_D7QD9uepIUmnhGs9VlCRiA_18_5"/>
      <w:bookmarkStart w:id="58" w:name="Tc_rS56rqKL3EylgdS1uvM2lQ_18_2"/>
      <w:bookmarkStart w:id="59" w:name="Tc_PuVB4Q1ufUCLp-7N_WcD-w_18_0"/>
      <w:bookmarkStart w:id="60" w:name="Tc_6f2tIvzcIUqp7tZGkoHx7Q_17_0"/>
      <w:bookmarkStart w:id="61" w:name="Tc_S99brZ7oIkOC7F8Jaeai9g_16_0"/>
      <w:bookmarkStart w:id="62" w:name="Tc_NIRSFORSB0WunUQCzuomaw_14_5"/>
      <w:bookmarkStart w:id="63" w:name="Tc_qw0UGP5GBUqU5iilGTyQtQ_14_2"/>
      <w:bookmarkStart w:id="64" w:name="Tc_xDBUxyPWrkCGtynvi9b85Q_14_0"/>
      <w:bookmarkStart w:id="65" w:name="Tc__kJ8iJqN50SaSNwes6bZtg_13_0"/>
      <w:bookmarkStart w:id="66" w:name="Tc_zgN02Sbe2kihsHeSPuEXVg_12_0"/>
      <w:bookmarkStart w:id="67" w:name="Tc_1pT9JK5nIkGJNiv_iN-yww_11_0"/>
      <w:bookmarkStart w:id="68" w:name="Tc_nR4biFH09kmMW0KgA2qxsw_10_0"/>
      <w:bookmarkStart w:id="69" w:name="Tc_1wabSleDo0myJifxj7_csQ_9_0"/>
      <w:bookmarkStart w:id="70" w:name="Tc_uBV89LFX0E63wJZL1GY7xg_8_0"/>
      <w:bookmarkStart w:id="71" w:name="Tc_QXclRQ5-skOyMYF8qOlLug_6_0"/>
      <w:bookmarkStart w:id="72" w:name="Tc_bqRqBJjJzk2ear_ShMAMGA_5_5"/>
      <w:bookmarkStart w:id="73" w:name="Tc_AyeAs82d7E6PPgGGVFk_VA_5_2"/>
      <w:bookmarkStart w:id="74" w:name="Tc_ayQsjsliZUK8VrMfMIJ2qw_5_0"/>
      <w:bookmarkStart w:id="75" w:name="Tc_9ePyqzRE2EOqQalXb46fdQ_4_0"/>
      <w:bookmarkStart w:id="76" w:name="Tc_bcUwq8CGFki6BflHDtIZRw_3_0"/>
      <w:bookmarkStart w:id="77" w:name="Tc_kTtQH_m0SU-bQlv_MN-axw_2_5"/>
      <w:bookmarkStart w:id="78" w:name="Tc_zUAnHBCQ1U6dL7glL1SKhg_2_2"/>
      <w:bookmarkStart w:id="79" w:name="Tc_Wy9q6wJ-vEGPSX7jUyFWdA_1_5"/>
      <w:bookmarkStart w:id="80" w:name="Tc_zIHUPf1050-MnEwNJJigxA_1_2"/>
      <w:bookmarkStart w:id="81" w:name="_197d693c_8d6c_4e2b_a0ff_013e875fc05b"/>
      <w:bookmarkStart w:id="82" w:name="Tc_MrKFV1SVOUm4OFm9fqIxMw_32_5"/>
      <w:bookmarkStart w:id="83" w:name="Tc_dftIRb7qDkKAvmFQY1lHOA_32_2"/>
      <w:bookmarkStart w:id="84" w:name="Tc_phMyKeKlNUGJud4PO3dppw_32_0"/>
      <w:bookmarkStart w:id="85" w:name="Tc_eexoe6ApBUaxOUUFSaop5w_31_0"/>
      <w:bookmarkStart w:id="86" w:name="Tc_Pvc4n5X66kyalpk3B3YH9g_30_0"/>
      <w:bookmarkStart w:id="87" w:name="Tc_z59zldKljkqTRlnbQtoEJw_29_0"/>
      <w:bookmarkStart w:id="88" w:name="Tc_oKWOmbyOJEywK-RM9_q1xg_28_0"/>
      <w:bookmarkStart w:id="89" w:name="Tc_nA2S7WTcYE2KA_LWmBZm-w_27_0"/>
      <w:bookmarkStart w:id="90" w:name="Tc_i9hLaWv9R0CPfNZnDi2eKw_26_0"/>
      <w:bookmarkStart w:id="91" w:name="Tc_36_yLeoRTkCJ_KjEWJRjxg_25_0"/>
      <w:bookmarkStart w:id="92" w:name="Tc_EX54iZcdiE-S8H8q8_v5qA_24_0"/>
      <w:bookmarkStart w:id="93" w:name="Tc_r_iEJEk_I02diYB71jggBg_23_0"/>
      <w:bookmarkStart w:id="94" w:name="Tc_EWEuz6IwQ02d1agzBNybbg_22_0"/>
      <w:bookmarkStart w:id="95" w:name="Tc_gLVi4U4jYkK6AXLEvCZsBQ_21_0"/>
      <w:bookmarkStart w:id="96" w:name="Tc_7F8l6C1l7UK-4i9tB1_zsQ_20_0"/>
      <w:bookmarkStart w:id="97" w:name="Tc_TVMbE2RtvU-0qb6G5dJZ3Q_19_0"/>
      <w:bookmarkStart w:id="98" w:name="Tc_D7QD9uepIUmnhGs9VlCRiA_18_5"/>
      <w:bookmarkStart w:id="99" w:name="Tc_rS56rqKL3EylgdS1uvM2lQ_18_2"/>
      <w:bookmarkStart w:id="100" w:name="Tc_PuVB4Q1ufUCLp-7N_WcD-w_18_0"/>
      <w:bookmarkStart w:id="101" w:name="Tc_6f2tIvzcIUqp7tZGkoHx7Q_17_0"/>
      <w:bookmarkStart w:id="102" w:name="Tc_S99brZ7oIkOC7F8Jaeai9g_16_0"/>
      <w:bookmarkStart w:id="103" w:name="Tc_NIRSFORSB0WunUQCzuomaw_14_5"/>
      <w:bookmarkStart w:id="104" w:name="Tc_qw0UGP5GBUqU5iilGTyQtQ_14_2"/>
      <w:bookmarkStart w:id="105" w:name="Tc_xDBUxyPWrkCGtynvi9b85Q_14_0"/>
      <w:bookmarkStart w:id="106" w:name="Tc__kJ8iJqN50SaSNwes6bZtg_13_0"/>
      <w:bookmarkStart w:id="107" w:name="Tc_zgN02Sbe2kihsHeSPuEXVg_12_0"/>
      <w:bookmarkStart w:id="108" w:name="Tc_1pT9JK5nIkGJNiv_iN-yww_11_0"/>
      <w:bookmarkStart w:id="109" w:name="Tc_nR4biFH09kmMW0KgA2qxsw_10_0"/>
      <w:bookmarkStart w:id="110" w:name="Tc_1wabSleDo0myJifxj7_csQ_9_0"/>
      <w:bookmarkStart w:id="111" w:name="Tc_uBV89LFX0E63wJZL1GY7xg_8_0"/>
      <w:bookmarkStart w:id="112" w:name="Tc_QXclRQ5-skOyMYF8qOlLug_6_0"/>
      <w:bookmarkStart w:id="113" w:name="Tc_bqRqBJjJzk2ear_ShMAMGA_5_5"/>
      <w:bookmarkStart w:id="114" w:name="Tc_AyeAs82d7E6PPgGGVFk_VA_5_2"/>
      <w:bookmarkStart w:id="115" w:name="Tc_ayQsjsliZUK8VrMfMIJ2qw_5_0"/>
      <w:bookmarkStart w:id="116" w:name="Tc_9ePyqzRE2EOqQalXb46fdQ_4_0"/>
      <w:bookmarkStart w:id="117" w:name="Tc_bcUwq8CGFki6BflHDtIZRw_3_0"/>
      <w:bookmarkStart w:id="118" w:name="Tc_kTtQH_m0SU-bQlv_MN-axw_2_5"/>
      <w:bookmarkStart w:id="119" w:name="Tc_zUAnHBCQ1U6dL7glL1SKhg_2_2"/>
      <w:bookmarkStart w:id="120" w:name="Tc_Wy9q6wJ-vEGPSX7jUyFWdA_1_5"/>
      <w:bookmarkStart w:id="121" w:name="Tc_zIHUPf1050-MnEwNJJigxA_1_2"/>
      <w:bookmarkStart w:id="122" w:name="_197d693c_8d6c_4e2b_a0ff_013e875fc05b"/>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tbl>
      <w:tblPr>
        <w:tblW w:w="10205" w:type="dxa"/>
        <w:jc w:val="left"/>
        <w:tblInd w:w="0" w:type="dxa"/>
        <w:tblLayout w:type="fixed"/>
        <w:tblCellMar>
          <w:top w:w="0" w:type="dxa"/>
          <w:left w:w="0" w:type="dxa"/>
          <w:bottom w:w="0" w:type="dxa"/>
          <w:right w:w="0" w:type="dxa"/>
        </w:tblCellMar>
      </w:tblPr>
      <w:tblGrid>
        <w:gridCol w:w="7313"/>
        <w:gridCol w:w="346"/>
        <w:gridCol w:w="211"/>
        <w:gridCol w:w="861"/>
        <w:gridCol w:w="346"/>
        <w:gridCol w:w="212"/>
        <w:gridCol w:w="916"/>
      </w:tblGrid>
      <w:tr>
        <w:trPr/>
        <w:tc>
          <w:tcPr>
            <w:tcW w:w="73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4643755" cy="175260"/>
                      <wp:effectExtent l="0" t="0" r="0" b="0"/>
                      <wp:wrapNone/>
                      <wp:docPr id="8" name="Frame8"/>
                      <a:graphic xmlns:a="http://schemas.openxmlformats.org/drawingml/2006/main">
                        <a:graphicData uri="http://schemas.microsoft.com/office/word/2010/wordprocessingShape">
                          <wps:wsp>
                            <wps:cNvSpPr txBox="1"/>
                            <wps:spPr>
                              <a:xfrm>
                                <a:off x="0" y="0"/>
                                <a:ext cx="464375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19710" cy="175260"/>
                      <wp:effectExtent l="0" t="0" r="0" b="0"/>
                      <wp:wrapNone/>
                      <wp:docPr id="9" name="Frame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33985" cy="175260"/>
                      <wp:effectExtent l="0" t="0" r="0" b="0"/>
                      <wp:wrapNone/>
                      <wp:docPr id="10" name="Frame1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546735" cy="175260"/>
                      <wp:effectExtent l="0" t="0" r="0" b="0"/>
                      <wp:wrapNone/>
                      <wp:docPr id="11" name="Frame11"/>
                      <a:graphic xmlns:a="http://schemas.openxmlformats.org/drawingml/2006/main">
                        <a:graphicData uri="http://schemas.microsoft.com/office/word/2010/wordprocessingShape">
                          <wps:wsp>
                            <wps:cNvSpPr txBox="1"/>
                            <wps:spPr>
                              <a:xfrm>
                                <a:off x="0" y="0"/>
                                <a:ext cx="546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19710" cy="175260"/>
                      <wp:effectExtent l="0" t="0" r="0" b="0"/>
                      <wp:wrapNone/>
                      <wp:docPr id="12" name="Frame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34620" cy="175260"/>
                      <wp:effectExtent l="0" t="0" r="0" b="0"/>
                      <wp:wrapNone/>
                      <wp:docPr id="13" name="Frame13"/>
                      <a:graphic xmlns:a="http://schemas.openxmlformats.org/drawingml/2006/main">
                        <a:graphicData uri="http://schemas.microsoft.com/office/word/2010/wordprocessingShape">
                          <wps:wsp>
                            <wps:cNvSpPr txBox="1"/>
                            <wps:spPr>
                              <a:xfrm>
                                <a:off x="0" y="0"/>
                                <a:ext cx="1346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581660" cy="175260"/>
                      <wp:effectExtent l="0" t="0" r="0" b="0"/>
                      <wp:wrapNone/>
                      <wp:docPr id="14" name="Frame1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313"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12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7313"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2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 </w:t>
            </w:r>
          </w:p>
        </w:tc>
        <w:tc>
          <w:tcPr>
            <w:tcW w:w="212"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  ​</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196,323</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 related party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5,731</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220,965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58,214</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839</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Angel Pharmaceuticals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15,107</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10,991</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855</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239,274</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71,119</w:t>
            </w:r>
          </w:p>
        </w:tc>
      </w:tr>
      <w:tr>
        <w:trPr/>
        <w:tc>
          <w:tcPr>
            <w:tcW w:w="7313"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pPr>
            <w:r>
              <w:rPr/>
              <w:t>  ​</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4,047</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2,491</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403</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9,171</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13,672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9,380</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274</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534</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9,914</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Commitments and contingencies </w:t>
            </w:r>
            <w:r>
              <w:rPr>
                <w:rFonts w:ascii="Times New Roman;Times;serif" w:hAnsi="Times New Roman;Times;serif"/>
                <w:i/>
                <w:sz w:val="20"/>
              </w:rPr>
              <w:t>(Note 15)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pPr>
            <w:r>
              <w:rPr/>
              <w:t>  ​</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pPr>
            <w:r>
              <w:rPr/>
              <w:t>  ​</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Preferred stock: $0.0001 par value; 10,000,000 shares authorized at June 30, 2026 and December 31, 2025; 0 shares issued and outstanding at each of June 30, 2026 and December 31, 2025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61"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caps w:val="false"/>
                <w:smallCaps w:val="false"/>
              </w:rPr>
            </w:pPr>
            <w:r>
              <w:rPr>
                <w:caps w:val="false"/>
                <w:smallCaps w:val="false"/>
              </w:rPr>
              <w:t>—</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$0.0001 par value; 290,000,000 shares authorized at June 30, 2026 and December 31, 2025; 84,120,944 and 74,696,629 shares issued and outstanding at June 30, 2026 and December 31, 2025, respectively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670,557</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vAlign w:val="center"/>
          </w:tcPr>
          <w:p>
            <w:pPr>
              <w:pStyle w:val="TableContents"/>
              <w:bidi w:val="0"/>
              <w:spacing w:lineRule="auto" w:line="285" w:before="0" w:after="0"/>
              <w:ind w:left="0" w:right="0" w:hanging="0"/>
              <w:jc w:val="left"/>
              <w:rPr/>
            </w:pPr>
            <w:r>
              <w:rPr/>
              <w:t> </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474,387</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shd w:fill="CCEEFF" w:val="clear"/>
            <w:vAlign w:val="center"/>
          </w:tcPr>
          <w:p>
            <w:pPr>
              <w:pStyle w:val="TableContents"/>
              <w:bidi w:val="0"/>
              <w:spacing w:lineRule="auto" w:line="285" w:before="0" w:after="0"/>
              <w:ind w:left="0" w:right="0" w:hanging="0"/>
              <w:jc w:val="left"/>
              <w:rPr/>
            </w:pPr>
            <w:r>
              <w:rPr/>
              <w:t> </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(896)</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(443,944)</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(412,293)</w:t>
            </w:r>
          </w:p>
        </w:tc>
      </w:tr>
      <w:tr>
        <w:trPr/>
        <w:tc>
          <w:tcPr>
            <w:tcW w:w="7313"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225,328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2"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61,205</w:t>
            </w:r>
          </w:p>
        </w:tc>
      </w:tr>
      <w:tr>
        <w:trPr/>
        <w:tc>
          <w:tcPr>
            <w:tcW w:w="731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239,274</w:t>
            </w:r>
          </w:p>
        </w:tc>
        <w:tc>
          <w:tcPr>
            <w:tcW w:w="346" w:type="dxa"/>
            <w:tcBorders/>
            <w:vAlign w:val="center"/>
          </w:tcPr>
          <w:p>
            <w:pPr>
              <w:pStyle w:val="TableContents"/>
              <w:bidi w:val="0"/>
              <w:spacing w:lineRule="auto" w:line="285" w:before="0" w:after="0"/>
              <w:ind w:left="0" w:right="0" w:hanging="0"/>
              <w:jc w:val="left"/>
              <w:rPr/>
            </w:pPr>
            <w:r>
              <w:rPr/>
              <w:t>​</w:t>
            </w:r>
          </w:p>
        </w:tc>
        <w:tc>
          <w:tcPr>
            <w:tcW w:w="212"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71,119</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3" w:name="_2b343a54_ef02_4ec9_850e_320bd6ff356f"/>
      <w:bookmarkEnd w:id="123"/>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124" w:name="CONDENSEDCONSOLIDATEDSTATEMENTSOFOPERATI"/>
      <w:bookmarkEnd w:id="124"/>
      <w:r>
        <w:rPr>
          <w:rFonts w:ascii="Times New Roman;Times;serif" w:hAnsi="Times New Roman;Times;serif"/>
          <w:b/>
          <w:sz w:val="20"/>
        </w:rPr>
        <w:t>CONDENSED CONSOLIDATED STATEMENTS OF OPERATIONS AND COMPREHENSIVE LOSS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and per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125" w:name="Tc_wU7Sd2mN3kihFMS0TjG95g_21_11"/>
      <w:bookmarkStart w:id="126" w:name="Tc_DGkwFY1T60aWLXrmzJVbfA_21_8"/>
      <w:bookmarkStart w:id="127" w:name="Tc_84weAj-mkEGIvzaB4mCzhg_21_5"/>
      <w:bookmarkStart w:id="128" w:name="Tc_JOOBrky62Um59TSEvblcYw_21_2"/>
      <w:bookmarkStart w:id="129" w:name="Tc_j8v2QyxpgU-5AtgajEFxSA_21_0"/>
      <w:bookmarkStart w:id="130" w:name="Tc_MSGWk0Gqe0yRjAskfEt3lQ_20_0"/>
      <w:bookmarkStart w:id="131" w:name="Tc_ccg6DhVxAk-oEZhOJ3hzsQ_19_0"/>
      <w:bookmarkStart w:id="132" w:name="Tc_K6IWOV2T2UuJ2DPF8idr-Q_18_0"/>
      <w:bookmarkStart w:id="133" w:name="Tc_VkwVcYE9p0-K-AgMmxbqcw_17_0"/>
      <w:bookmarkStart w:id="134" w:name="Tc_XE3EAWzRekqm3obIwFl_dQ_16_0"/>
      <w:bookmarkStart w:id="135" w:name="Tc_VMHFBTHekUW1ju5a1NdXxg_15_11"/>
      <w:bookmarkStart w:id="136" w:name="Tc__i-wzrYXYE-MHnpkZjDXyg_15_8"/>
      <w:bookmarkStart w:id="137" w:name="Tc_UF6iN3KpbkaIhT255l2uiA_15_5"/>
      <w:bookmarkStart w:id="138" w:name="Tc_ru8Rv_J2B0KIqJODzSgc1A_15_2"/>
      <w:bookmarkStart w:id="139" w:name="Tc_nYuXM65vA0eNT0YXhmXtKg_15_0"/>
      <w:bookmarkStart w:id="140" w:name="Tc_GsLXxR6Xl0-JX_TVwtAb8Q_14_11"/>
      <w:bookmarkStart w:id="141" w:name="Tc_-2hc2lqCOkywYCOaCyBlFQ_14_8"/>
      <w:bookmarkStart w:id="142" w:name="Tc_DkFi_cY-o0u18Y9QnkZmog_14_5"/>
      <w:bookmarkStart w:id="143" w:name="Tc_HTys3v8k3kqom9PoAhxBFA_14_2"/>
      <w:bookmarkStart w:id="144" w:name="Tc_PVmfDuPMaEa-jVe6e1Lzjg_14_0"/>
      <w:bookmarkStart w:id="145" w:name="Tc_52WHi-6OikSrdHJvYSiMKg_13_11"/>
      <w:bookmarkStart w:id="146" w:name="Tc_-0U76RpV2EOdzamzx7wXKg_13_8"/>
      <w:bookmarkStart w:id="147" w:name="Tc_3kvvkPx6WUqvz9UjnUMoFA_13_5"/>
      <w:bookmarkStart w:id="148" w:name="Tc_3z6DIuhKQ0WjGK6I3QyRXQ_13_2"/>
      <w:bookmarkStart w:id="149" w:name="Tc_HveHdOpxykiFOfbuQl_K8w_13_0"/>
      <w:bookmarkStart w:id="150" w:name="Tc_rd2XQj9v2ECRUYR_GUoKYQ_12_0"/>
      <w:bookmarkStart w:id="151" w:name="Tc_MKRYzPI1VE23TrJWjePYzg_11_0"/>
      <w:bookmarkStart w:id="152" w:name="Tc_Qi5VwHotBUWzM7HO5JJXbg_10_9"/>
      <w:bookmarkStart w:id="153" w:name="Tc_GfCFa_lIEke5NMaKUr-OIw_10_3"/>
      <w:bookmarkStart w:id="154" w:name="Tc_4mnEANFPgUmPvLADn4yhpg_10_0"/>
      <w:bookmarkStart w:id="155" w:name="Tc_lUP7ptys70astXEFbvfAUQ_9_0"/>
      <w:bookmarkStart w:id="156" w:name="Tc_V2Ugpp4yY0aOmtSbY6aODw_8_0"/>
      <w:bookmarkStart w:id="157" w:name="Tc_Q4I-8wdpT0S0WbHBEGVngg_7_0"/>
      <w:bookmarkStart w:id="158" w:name="Tc_g2fBlkr96EScq_P_A6RnQQ_6_0"/>
      <w:bookmarkStart w:id="159" w:name="Tc_0p35jD8ax0y8I7rrMQeuiA_5_11"/>
      <w:bookmarkStart w:id="160" w:name="Tc_2YpOSGpbBE6Cz3yDv54YGw_5_8"/>
      <w:bookmarkStart w:id="161" w:name="Tc_QnRSywkNekWfGitZTeewfA_5_5"/>
      <w:bookmarkStart w:id="162" w:name="Tc_rvheAQQOkES39PnABMWybQ_5_2"/>
      <w:bookmarkStart w:id="163" w:name="Tc_zVr9T3r0G0m8CKkSPykqQw_5_0"/>
      <w:bookmarkStart w:id="164" w:name="Tc_sEGWqhj-9UiRwPCFG8CXaA_4_0"/>
      <w:bookmarkStart w:id="165" w:name="Tc_rM2mMaXa40GkVDkPgVd5pw_3_11"/>
      <w:bookmarkStart w:id="166" w:name="Tc_LRoyjYf28UWS-80ixFZiJA_3_8"/>
      <w:bookmarkStart w:id="167" w:name="Tc_tt17fYpRxEqpAyj5lrT5Ug_3_5"/>
      <w:bookmarkStart w:id="168" w:name="Tc_NddP76tTu0-NuFxvPGlK1A_3_2"/>
      <w:bookmarkStart w:id="169" w:name="Tc_IwJhUVX5IEC0arR5mknWAw_2_8"/>
      <w:bookmarkStart w:id="170" w:name="Tc_-zpzoVPjuUyGHD89jsCfdg_2_2"/>
      <w:bookmarkStart w:id="171" w:name="Tc_9fZEkwi32kO-YM9MxrU0Bg_1_8"/>
      <w:bookmarkStart w:id="172" w:name="Tc_bduuZwQZDEmvfamzJl1OOQ_1_2"/>
      <w:bookmarkStart w:id="173" w:name="_eb43a729_0676_4a3a_9fae_e371a235dcaa"/>
      <w:bookmarkStart w:id="174" w:name="Tc_wU7Sd2mN3kihFMS0TjG95g_21_11"/>
      <w:bookmarkStart w:id="175" w:name="Tc_DGkwFY1T60aWLXrmzJVbfA_21_8"/>
      <w:bookmarkStart w:id="176" w:name="Tc_84weAj-mkEGIvzaB4mCzhg_21_5"/>
      <w:bookmarkStart w:id="177" w:name="Tc_JOOBrky62Um59TSEvblcYw_21_2"/>
      <w:bookmarkStart w:id="178" w:name="Tc_j8v2QyxpgU-5AtgajEFxSA_21_0"/>
      <w:bookmarkStart w:id="179" w:name="Tc_MSGWk0Gqe0yRjAskfEt3lQ_20_0"/>
      <w:bookmarkStart w:id="180" w:name="Tc_ccg6DhVxAk-oEZhOJ3hzsQ_19_0"/>
      <w:bookmarkStart w:id="181" w:name="Tc_K6IWOV2T2UuJ2DPF8idr-Q_18_0"/>
      <w:bookmarkStart w:id="182" w:name="Tc_VkwVcYE9p0-K-AgMmxbqcw_17_0"/>
      <w:bookmarkStart w:id="183" w:name="Tc_XE3EAWzRekqm3obIwFl_dQ_16_0"/>
      <w:bookmarkStart w:id="184" w:name="Tc_VMHFBTHekUW1ju5a1NdXxg_15_11"/>
      <w:bookmarkStart w:id="185" w:name="Tc__i-wzrYXYE-MHnpkZjDXyg_15_8"/>
      <w:bookmarkStart w:id="186" w:name="Tc_UF6iN3KpbkaIhT255l2uiA_15_5"/>
      <w:bookmarkStart w:id="187" w:name="Tc_ru8Rv_J2B0KIqJODzSgc1A_15_2"/>
      <w:bookmarkStart w:id="188" w:name="Tc_nYuXM65vA0eNT0YXhmXtKg_15_0"/>
      <w:bookmarkStart w:id="189" w:name="Tc_GsLXxR6Xl0-JX_TVwtAb8Q_14_11"/>
      <w:bookmarkStart w:id="190" w:name="Tc_-2hc2lqCOkywYCOaCyBlFQ_14_8"/>
      <w:bookmarkStart w:id="191" w:name="Tc_DkFi_cY-o0u18Y9QnkZmog_14_5"/>
      <w:bookmarkStart w:id="192" w:name="Tc_HTys3v8k3kqom9PoAhxBFA_14_2"/>
      <w:bookmarkStart w:id="193" w:name="Tc_PVmfDuPMaEa-jVe6e1Lzjg_14_0"/>
      <w:bookmarkStart w:id="194" w:name="Tc_52WHi-6OikSrdHJvYSiMKg_13_11"/>
      <w:bookmarkStart w:id="195" w:name="Tc_-0U76RpV2EOdzamzx7wXKg_13_8"/>
      <w:bookmarkStart w:id="196" w:name="Tc_3kvvkPx6WUqvz9UjnUMoFA_13_5"/>
      <w:bookmarkStart w:id="197" w:name="Tc_3z6DIuhKQ0WjGK6I3QyRXQ_13_2"/>
      <w:bookmarkStart w:id="198" w:name="Tc_HveHdOpxykiFOfbuQl_K8w_13_0"/>
      <w:bookmarkStart w:id="199" w:name="Tc_rd2XQj9v2ECRUYR_GUoKYQ_12_0"/>
      <w:bookmarkStart w:id="200" w:name="Tc_MKRYzPI1VE23TrJWjePYzg_11_0"/>
      <w:bookmarkStart w:id="201" w:name="Tc_Qi5VwHotBUWzM7HO5JJXbg_10_9"/>
      <w:bookmarkStart w:id="202" w:name="Tc_GfCFa_lIEke5NMaKUr-OIw_10_3"/>
      <w:bookmarkStart w:id="203" w:name="Tc_4mnEANFPgUmPvLADn4yhpg_10_0"/>
      <w:bookmarkStart w:id="204" w:name="Tc_lUP7ptys70astXEFbvfAUQ_9_0"/>
      <w:bookmarkStart w:id="205" w:name="Tc_V2Ugpp4yY0aOmtSbY6aODw_8_0"/>
      <w:bookmarkStart w:id="206" w:name="Tc_Q4I-8wdpT0S0WbHBEGVngg_7_0"/>
      <w:bookmarkStart w:id="207" w:name="Tc_g2fBlkr96EScq_P_A6RnQQ_6_0"/>
      <w:bookmarkStart w:id="208" w:name="Tc_0p35jD8ax0y8I7rrMQeuiA_5_11"/>
      <w:bookmarkStart w:id="209" w:name="Tc_2YpOSGpbBE6Cz3yDv54YGw_5_8"/>
      <w:bookmarkStart w:id="210" w:name="Tc_QnRSywkNekWfGitZTeewfA_5_5"/>
      <w:bookmarkStart w:id="211" w:name="Tc_rvheAQQOkES39PnABMWybQ_5_2"/>
      <w:bookmarkStart w:id="212" w:name="Tc_zVr9T3r0G0m8CKkSPykqQw_5_0"/>
      <w:bookmarkStart w:id="213" w:name="Tc_sEGWqhj-9UiRwPCFG8CXaA_4_0"/>
      <w:bookmarkStart w:id="214" w:name="Tc_rM2mMaXa40GkVDkPgVd5pw_3_11"/>
      <w:bookmarkStart w:id="215" w:name="Tc_LRoyjYf28UWS-80ixFZiJA_3_8"/>
      <w:bookmarkStart w:id="216" w:name="Tc_tt17fYpRxEqpAyj5lrT5Ug_3_5"/>
      <w:bookmarkStart w:id="217" w:name="Tc_NddP76tTu0-NuFxvPGlK1A_3_2"/>
      <w:bookmarkStart w:id="218" w:name="Tc_IwJhUVX5IEC0arR5mknWAw_2_8"/>
      <w:bookmarkStart w:id="219" w:name="Tc_-zpzoVPjuUyGHD89jsCfdg_2_2"/>
      <w:bookmarkStart w:id="220" w:name="Tc_9fZEkwi32kO-YM9MxrU0Bg_1_8"/>
      <w:bookmarkStart w:id="221" w:name="Tc_bduuZwQZDEmvfamzJl1OOQ_1_2"/>
      <w:bookmarkStart w:id="222" w:name="_eb43a729_0676_4a3a_9fae_e371a235dcaa"/>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tbl>
      <w:tblPr>
        <w:tblW w:w="10205" w:type="dxa"/>
        <w:jc w:val="left"/>
        <w:tblInd w:w="0" w:type="dxa"/>
        <w:tblLayout w:type="fixed"/>
        <w:tblCellMar>
          <w:top w:w="0" w:type="dxa"/>
          <w:left w:w="0" w:type="dxa"/>
          <w:bottom w:w="0" w:type="dxa"/>
          <w:right w:w="0" w:type="dxa"/>
        </w:tblCellMar>
      </w:tblPr>
      <w:tblGrid>
        <w:gridCol w:w="3442"/>
        <w:gridCol w:w="346"/>
        <w:gridCol w:w="211"/>
        <w:gridCol w:w="1036"/>
        <w:gridCol w:w="346"/>
        <w:gridCol w:w="211"/>
        <w:gridCol w:w="1036"/>
        <w:gridCol w:w="346"/>
        <w:gridCol w:w="211"/>
        <w:gridCol w:w="1036"/>
        <w:gridCol w:w="346"/>
        <w:gridCol w:w="211"/>
        <w:gridCol w:w="1036"/>
        <w:gridCol w:w="391"/>
      </w:tblGrid>
      <w:tr>
        <w:trPr/>
        <w:tc>
          <w:tcPr>
            <w:tcW w:w="3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185670" cy="175260"/>
                      <wp:effectExtent l="0" t="0" r="0" b="0"/>
                      <wp:wrapNone/>
                      <wp:docPr id="15" name="Frame15"/>
                      <a:graphic xmlns:a="http://schemas.openxmlformats.org/drawingml/2006/main">
                        <a:graphicData uri="http://schemas.microsoft.com/office/word/2010/wordprocessingShape">
                          <wps:wsp>
                            <wps:cNvSpPr txBox="1"/>
                            <wps:spPr>
                              <a:xfrm>
                                <a:off x="0" y="0"/>
                                <a:ext cx="2185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19710" cy="175260"/>
                      <wp:effectExtent l="0" t="0" r="0" b="0"/>
                      <wp:wrapNone/>
                      <wp:docPr id="16" name="Frame1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17" name="Frame1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57860" cy="175260"/>
                      <wp:effectExtent l="0" t="0" r="0" b="0"/>
                      <wp:wrapNone/>
                      <wp:docPr id="18" name="Frame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19710" cy="175260"/>
                      <wp:effectExtent l="0" t="0" r="0" b="0"/>
                      <wp:wrapNone/>
                      <wp:docPr id="19" name="Frame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0" name="Frame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57860" cy="175260"/>
                      <wp:effectExtent l="0" t="0" r="0" b="0"/>
                      <wp:wrapNone/>
                      <wp:docPr id="21" name="Frame2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19710" cy="175260"/>
                      <wp:effectExtent l="0" t="0" r="0" b="0"/>
                      <wp:wrapNone/>
                      <wp:docPr id="22" name="Frame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3" name="Frame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57860" cy="175260"/>
                      <wp:effectExtent l="0" t="0" r="0" b="0"/>
                      <wp:wrapNone/>
                      <wp:docPr id="24" name="Frame2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19710" cy="175260"/>
                      <wp:effectExtent l="0" t="0" r="0" b="0"/>
                      <wp:wrapNone/>
                      <wp:docPr id="25" name="Frame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57860" cy="175260"/>
                      <wp:effectExtent l="0" t="0" r="0" b="0"/>
                      <wp:wrapNone/>
                      <wp:docPr id="27" name="Frame2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48285" cy="175260"/>
                      <wp:effectExtent l="0" t="0" r="0" b="0"/>
                      <wp:wrapNone/>
                      <wp:docPr id="28" name="Frame2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15,326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34,174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(17,250)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(30,343)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8,123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income per share, basic</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92,368,013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77,774,344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91,188,921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74,966,022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net loss per share,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92,368,013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77,774,344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91,188,921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76,521,708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comprehensive (loss) income: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Unrealized loss on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Cumulative 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Comprehensive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(7,892)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(32,048)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7,335</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223" w:name="_d5987825_621d_4c44_81b9_72aa0e00b57d"/>
      <w:bookmarkEnd w:id="223"/>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224" w:name="STOCKHOLDERSEQUITY_96157"/>
      <w:bookmarkEnd w:id="224"/>
      <w:r>
        <w:rPr>
          <w:rFonts w:ascii="Times New Roman;Times;serif" w:hAnsi="Times New Roman;Times;serif"/>
          <w:b/>
          <w:sz w:val="20"/>
        </w:rPr>
        <w:t>CONDENSED CONSOLIDATED STATEMENTS OF CHANGES IN STOCKHOLDERS’ EQUITY</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 except share data)</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225" w:name="Tc_QPUcBWWsBUuv4clBFsuNFQ_19_16"/>
      <w:bookmarkStart w:id="226" w:name="Tc_nt7LfqC4k02vET6YncMxaQ_19_13"/>
      <w:bookmarkStart w:id="227" w:name="Tc_ADdfPtzBEUmD-p5tMdHlVQ_19_10"/>
      <w:bookmarkStart w:id="228" w:name="Tc_tPHdGpF-aUCRvNrJKnURsg_19_7"/>
      <w:bookmarkStart w:id="229" w:name="Tc_kgq1D27dC0--olNxppG5kg_19_4"/>
      <w:bookmarkStart w:id="230" w:name="Tc_bflsnM4zLkyTcKvS--ebcg_19_0"/>
      <w:bookmarkStart w:id="231" w:name="Tc_FsiwfH9ChkSdQOla-8Puyg_18_11"/>
      <w:bookmarkStart w:id="232" w:name="Tc_kHSkwfZzAU-VYzC7uFYu9A_18_8"/>
      <w:bookmarkStart w:id="233" w:name="Tc_ALVDosk6MkCbrCxhQyl9iA_18_5"/>
      <w:bookmarkStart w:id="234" w:name="Tc_q0Xsxh2k5UqxUydFWEd3gw_18_2"/>
      <w:bookmarkStart w:id="235" w:name="Tc_7rPL0V59lEy7KX7ccifv6g_18_0"/>
      <w:bookmarkStart w:id="236" w:name="Tc_fCRwTPzND06acVm_MiBGSw_17_14"/>
      <w:bookmarkStart w:id="237" w:name="Tc_nuGz6fYlMUKo782Fx6LvHQ_17_8"/>
      <w:bookmarkStart w:id="238" w:name="Tc_a6PqpI_FukmHfCuw7CC4zA_17_5"/>
      <w:bookmarkStart w:id="239" w:name="Tc_ZDLK7kqGwkeZe379Df-X_w_17_2"/>
      <w:bookmarkStart w:id="240" w:name="Tc_UzNzmoyRRk6QBVwYDGqeJA_17_0"/>
      <w:bookmarkStart w:id="241" w:name="Tc_xiRdEUuVKkqahbMshf34vw_16_14"/>
      <w:bookmarkStart w:id="242" w:name="Tc_4Q8VQgrzN0iINiqbsKVJcg_16_8"/>
      <w:bookmarkStart w:id="243" w:name="Tc_NiIdwkW8c0qPWLpovyd5Zw_16_5"/>
      <w:bookmarkStart w:id="244" w:name="Tc_iHD4Grpoy0yXRpG7vwdsiA_16_2"/>
      <w:bookmarkStart w:id="245" w:name="Tc_1OFI8s-YLku2ehTS65xhpQ_16_0"/>
      <w:bookmarkStart w:id="246" w:name="Tc_FpBpDZxl1ECSla72mXsbEw_15_14"/>
      <w:bookmarkStart w:id="247" w:name="Tc_USf7wanDBk24n6RWVUi_1Q_15_11"/>
      <w:bookmarkStart w:id="248" w:name="Tc_M5cUWwJSYkiFTK3LOxGjQg_15_5"/>
      <w:bookmarkStart w:id="249" w:name="Tc_GLRmILWUkEO2dnn8XWgZ8Q_15_2"/>
      <w:bookmarkStart w:id="250" w:name="Tc_r5s475BG_Ua5Ya5V5C8cnw_15_0"/>
      <w:bookmarkStart w:id="251" w:name="Tc_LOsbrIAjvUyk_tP1KfuSKA_14_14"/>
      <w:bookmarkStart w:id="252" w:name="Tc_Fa0F9cAepk2CzOHb6BJExA_14_11"/>
      <w:bookmarkStart w:id="253" w:name="Tc_1PtUQ_mouE65pwtgibFFtQ_14_5"/>
      <w:bookmarkStart w:id="254" w:name="Tc_jw7_iK-sW0KHC6liKymZ7Q_14_0"/>
      <w:bookmarkStart w:id="255" w:name="Tc_GGNIbf0TAE2gEVB8QU9I9w_13_16"/>
      <w:bookmarkStart w:id="256" w:name="Tc_W7glv3vzykeciVF4O0v8KQ_13_13"/>
      <w:bookmarkStart w:id="257" w:name="Tc_-62UO8VqGUu0Qy-ZWRRTxQ_13_10"/>
      <w:bookmarkStart w:id="258" w:name="Tc_RZHxh64xAkicqPcrHYbe0w_13_7"/>
      <w:bookmarkStart w:id="259" w:name="Tc_N-qe8JCd4E6PQttugHZsaQ_13_4"/>
      <w:bookmarkStart w:id="260" w:name="Tc_ERBzCMNYEUuixXJ-Tp1VLA_13_0"/>
      <w:bookmarkStart w:id="261" w:name="Tc_i_rvqUx_3USPA8dwRTM1bA_12_11"/>
      <w:bookmarkStart w:id="262" w:name="Tc_tfoEJxKacUCrR1y4fAvGXg_12_8"/>
      <w:bookmarkStart w:id="263" w:name="Tc_s5Js_S9X_0eAAQ8GrmWjjQ_12_5"/>
      <w:bookmarkStart w:id="264" w:name="Tc_p8g2r1uOwUWe_2rL71b9Yg_12_2"/>
      <w:bookmarkStart w:id="265" w:name="Tc_dQDfX588a0-3EzRl5GqDxw_12_0"/>
      <w:bookmarkStart w:id="266" w:name="Tc_pTimdOBOlkOIcIw4vyMH8g_11_14"/>
      <w:bookmarkStart w:id="267" w:name="Tc_-sFszcwZS0mDSDqCDPLeCQ_11_8"/>
      <w:bookmarkStart w:id="268" w:name="Tc_P0alxeQEHUuUyUmZR4zqyA_11_5"/>
      <w:bookmarkStart w:id="269" w:name="Tc_sd8Sg6_Z5ku1pPJZBJvxPQ_11_2"/>
      <w:bookmarkStart w:id="270" w:name="Tc_JA9Hn_L6ek6s5WzR6lqNUw_11_0"/>
      <w:bookmarkStart w:id="271" w:name="Tc_ClFo9URSQUqEFFGGSqpxHA_10_14"/>
      <w:bookmarkStart w:id="272" w:name="Tc_Dw6UDPLTCUevhZHc3b8Lpw_10_8"/>
      <w:bookmarkStart w:id="273" w:name="Tc_xBasgp31mUyLNliocI6ktA_10_5"/>
      <w:bookmarkStart w:id="274" w:name="Tc_dEka31fonkS4kkGNMNydIQ_10_2"/>
      <w:bookmarkStart w:id="275" w:name="Tc_UcHU2XAoM0Gek2giA6jDVg_10_0"/>
      <w:bookmarkStart w:id="276" w:name="Tc_VaemPP6LpUePFjJWzXL80w_9_14"/>
      <w:bookmarkStart w:id="277" w:name="Tc_l56sLAqj-E6fV9eHqZZiUg_9_11"/>
      <w:bookmarkStart w:id="278" w:name="Tc_Q8pdvTfKJUGfffwrRXbW6Q_9_5"/>
      <w:bookmarkStart w:id="279" w:name="Tc_0CGjML9WbkOwpVDZyR3E1A_9_2"/>
      <w:bookmarkStart w:id="280" w:name="Tc_NySeIIcXJkCThZXP3s1oKA_9_0"/>
      <w:bookmarkStart w:id="281" w:name="Tc_aKPy6Lz7r0ydS7UxMO823Q_8_14"/>
      <w:bookmarkStart w:id="282" w:name="Tc_9wqZwps600WMItizr75uaw_8_11"/>
      <w:bookmarkStart w:id="283" w:name="Tc_W3ci2jOvDEGGw_IBrHo93A_8_0"/>
      <w:bookmarkStart w:id="284" w:name="Tc_UfrmpDHPoUOrifRCnPrxtA_7_14"/>
      <w:bookmarkStart w:id="285" w:name="Tc_TSu0Pk9KNkuqN64Q6kb41g_7_11"/>
      <w:bookmarkStart w:id="286" w:name="Tc_OB1JMabwk0KRBFlGMxtrDw_7_5"/>
      <w:bookmarkStart w:id="287" w:name="Tc_UGXDEHh21UiGIBnqpHtgzQ_7_0"/>
      <w:bookmarkStart w:id="288" w:name="Tc_bJC1mm8z4keFjDMdaT7FNw_6_16"/>
      <w:bookmarkStart w:id="289" w:name="Tc_BkAYiWeBE0GYJEMcgWQ0Jw_6_13"/>
      <w:bookmarkStart w:id="290" w:name="Tc_DQTIt3QhSUKSPPlCWH3aTQ_6_10"/>
      <w:bookmarkStart w:id="291" w:name="Tc_e8bnMSyJn0ywDXf8j6zACg_6_7"/>
      <w:bookmarkStart w:id="292" w:name="Tc_m1LDZ49e-Eq4_Qk5b2upsQ_6_4"/>
      <w:bookmarkStart w:id="293" w:name="Tc_Gm1T3M-BvUWtUo6OOV-CAw_6_0"/>
      <w:bookmarkStart w:id="294" w:name="Tc_Id4srCS0hkuVabaVNxMUxg_5_16"/>
      <w:bookmarkStart w:id="295" w:name="Tc_UtaFrukuskGezna1Ht_RtA_5_13"/>
      <w:bookmarkStart w:id="296" w:name="Tc_WpcjL-70ZUuvXRjCrP988g_5_10"/>
      <w:bookmarkStart w:id="297" w:name="Tc__E559oO_5ky7lgL-GoYwqg_5_7"/>
      <w:bookmarkStart w:id="298" w:name="Tc_NR4TLx2cP0WZRlReI6N4Ww_5_4"/>
      <w:bookmarkStart w:id="299" w:name="Tc_hMET5UYbPEyWZNtambbVMQ_5_2"/>
      <w:bookmarkStart w:id="300" w:name="Tc_TBCpMyUEZ0WvqiyCysL9-A_4_16"/>
      <w:bookmarkStart w:id="301" w:name="Tc_O6_2CtyQd0uZAUSeyIbTHg_4_13"/>
      <w:bookmarkStart w:id="302" w:name="Tc_1zk5WBd3fku7RpF3slIbxA_4_10"/>
      <w:bookmarkStart w:id="303" w:name="Tc_lTetcE-vYE-SZu9mXcmpeA_4_7"/>
      <w:bookmarkStart w:id="304" w:name="Tc_1nwPzcJ_lEyVC6e93dwYOw_4_2"/>
      <w:bookmarkStart w:id="305" w:name="Tc_5DDFBgiqtEyXyUrx_2lRzw_3_16"/>
      <w:bookmarkStart w:id="306" w:name="Tc_djnzGBGbb0qvKLnKdBuDvQ_3_10"/>
      <w:bookmarkStart w:id="307" w:name="Tc_hA3Pr5ZOIE2E6DJ9glEPrA_3_7"/>
      <w:bookmarkStart w:id="308" w:name="Tc_oiZdcnLSSUarHmf4XtJR_A_2_10"/>
      <w:bookmarkStart w:id="309" w:name="Tc_xKN_OdaA4k2B5toVzf4ezA_1_2"/>
      <w:bookmarkStart w:id="310" w:name="_9231e40d_8a65_44b5_9df7_0f6529b4f75c"/>
      <w:bookmarkStart w:id="311" w:name="Tc_QPUcBWWsBUuv4clBFsuNFQ_19_16"/>
      <w:bookmarkStart w:id="312" w:name="Tc_nt7LfqC4k02vET6YncMxaQ_19_13"/>
      <w:bookmarkStart w:id="313" w:name="Tc_ADdfPtzBEUmD-p5tMdHlVQ_19_10"/>
      <w:bookmarkStart w:id="314" w:name="Tc_tPHdGpF-aUCRvNrJKnURsg_19_7"/>
      <w:bookmarkStart w:id="315" w:name="Tc_kgq1D27dC0--olNxppG5kg_19_4"/>
      <w:bookmarkStart w:id="316" w:name="Tc_bflsnM4zLkyTcKvS--ebcg_19_0"/>
      <w:bookmarkStart w:id="317" w:name="Tc_FsiwfH9ChkSdQOla-8Puyg_18_11"/>
      <w:bookmarkStart w:id="318" w:name="Tc_kHSkwfZzAU-VYzC7uFYu9A_18_8"/>
      <w:bookmarkStart w:id="319" w:name="Tc_ALVDosk6MkCbrCxhQyl9iA_18_5"/>
      <w:bookmarkStart w:id="320" w:name="Tc_q0Xsxh2k5UqxUydFWEd3gw_18_2"/>
      <w:bookmarkStart w:id="321" w:name="Tc_7rPL0V59lEy7KX7ccifv6g_18_0"/>
      <w:bookmarkStart w:id="322" w:name="Tc_fCRwTPzND06acVm_MiBGSw_17_14"/>
      <w:bookmarkStart w:id="323" w:name="Tc_nuGz6fYlMUKo782Fx6LvHQ_17_8"/>
      <w:bookmarkStart w:id="324" w:name="Tc_a6PqpI_FukmHfCuw7CC4zA_17_5"/>
      <w:bookmarkStart w:id="325" w:name="Tc_ZDLK7kqGwkeZe379Df-X_w_17_2"/>
      <w:bookmarkStart w:id="326" w:name="Tc_UzNzmoyRRk6QBVwYDGqeJA_17_0"/>
      <w:bookmarkStart w:id="327" w:name="Tc_xiRdEUuVKkqahbMshf34vw_16_14"/>
      <w:bookmarkStart w:id="328" w:name="Tc_4Q8VQgrzN0iINiqbsKVJcg_16_8"/>
      <w:bookmarkStart w:id="329" w:name="Tc_NiIdwkW8c0qPWLpovyd5Zw_16_5"/>
      <w:bookmarkStart w:id="330" w:name="Tc_iHD4Grpoy0yXRpG7vwdsiA_16_2"/>
      <w:bookmarkStart w:id="331" w:name="Tc_1OFI8s-YLku2ehTS65xhpQ_16_0"/>
      <w:bookmarkStart w:id="332" w:name="Tc_FpBpDZxl1ECSla72mXsbEw_15_14"/>
      <w:bookmarkStart w:id="333" w:name="Tc_USf7wanDBk24n6RWVUi_1Q_15_11"/>
      <w:bookmarkStart w:id="334" w:name="Tc_M5cUWwJSYkiFTK3LOxGjQg_15_5"/>
      <w:bookmarkStart w:id="335" w:name="Tc_GLRmILWUkEO2dnn8XWgZ8Q_15_2"/>
      <w:bookmarkStart w:id="336" w:name="Tc_r5s475BG_Ua5Ya5V5C8cnw_15_0"/>
      <w:bookmarkStart w:id="337" w:name="Tc_LOsbrIAjvUyk_tP1KfuSKA_14_14"/>
      <w:bookmarkStart w:id="338" w:name="Tc_Fa0F9cAepk2CzOHb6BJExA_14_11"/>
      <w:bookmarkStart w:id="339" w:name="Tc_1PtUQ_mouE65pwtgibFFtQ_14_5"/>
      <w:bookmarkStart w:id="340" w:name="Tc_jw7_iK-sW0KHC6liKymZ7Q_14_0"/>
      <w:bookmarkStart w:id="341" w:name="Tc_GGNIbf0TAE2gEVB8QU9I9w_13_16"/>
      <w:bookmarkStart w:id="342" w:name="Tc_W7glv3vzykeciVF4O0v8KQ_13_13"/>
      <w:bookmarkStart w:id="343" w:name="Tc_-62UO8VqGUu0Qy-ZWRRTxQ_13_10"/>
      <w:bookmarkStart w:id="344" w:name="Tc_RZHxh64xAkicqPcrHYbe0w_13_7"/>
      <w:bookmarkStart w:id="345" w:name="Tc_N-qe8JCd4E6PQttugHZsaQ_13_4"/>
      <w:bookmarkStart w:id="346" w:name="Tc_ERBzCMNYEUuixXJ-Tp1VLA_13_0"/>
      <w:bookmarkStart w:id="347" w:name="Tc_i_rvqUx_3USPA8dwRTM1bA_12_11"/>
      <w:bookmarkStart w:id="348" w:name="Tc_tfoEJxKacUCrR1y4fAvGXg_12_8"/>
      <w:bookmarkStart w:id="349" w:name="Tc_s5Js_S9X_0eAAQ8GrmWjjQ_12_5"/>
      <w:bookmarkStart w:id="350" w:name="Tc_p8g2r1uOwUWe_2rL71b9Yg_12_2"/>
      <w:bookmarkStart w:id="351" w:name="Tc_dQDfX588a0-3EzRl5GqDxw_12_0"/>
      <w:bookmarkStart w:id="352" w:name="Tc_pTimdOBOlkOIcIw4vyMH8g_11_14"/>
      <w:bookmarkStart w:id="353" w:name="Tc_-sFszcwZS0mDSDqCDPLeCQ_11_8"/>
      <w:bookmarkStart w:id="354" w:name="Tc_P0alxeQEHUuUyUmZR4zqyA_11_5"/>
      <w:bookmarkStart w:id="355" w:name="Tc_sd8Sg6_Z5ku1pPJZBJvxPQ_11_2"/>
      <w:bookmarkStart w:id="356" w:name="Tc_JA9Hn_L6ek6s5WzR6lqNUw_11_0"/>
      <w:bookmarkStart w:id="357" w:name="Tc_ClFo9URSQUqEFFGGSqpxHA_10_14"/>
      <w:bookmarkStart w:id="358" w:name="Tc_Dw6UDPLTCUevhZHc3b8Lpw_10_8"/>
      <w:bookmarkStart w:id="359" w:name="Tc_xBasgp31mUyLNliocI6ktA_10_5"/>
      <w:bookmarkStart w:id="360" w:name="Tc_dEka31fonkS4kkGNMNydIQ_10_2"/>
      <w:bookmarkStart w:id="361" w:name="Tc_UcHU2XAoM0Gek2giA6jDVg_10_0"/>
      <w:bookmarkStart w:id="362" w:name="Tc_VaemPP6LpUePFjJWzXL80w_9_14"/>
      <w:bookmarkStart w:id="363" w:name="Tc_l56sLAqj-E6fV9eHqZZiUg_9_11"/>
      <w:bookmarkStart w:id="364" w:name="Tc_Q8pdvTfKJUGfffwrRXbW6Q_9_5"/>
      <w:bookmarkStart w:id="365" w:name="Tc_0CGjML9WbkOwpVDZyR3E1A_9_2"/>
      <w:bookmarkStart w:id="366" w:name="Tc_NySeIIcXJkCThZXP3s1oKA_9_0"/>
      <w:bookmarkStart w:id="367" w:name="Tc_aKPy6Lz7r0ydS7UxMO823Q_8_14"/>
      <w:bookmarkStart w:id="368" w:name="Tc_9wqZwps600WMItizr75uaw_8_11"/>
      <w:bookmarkStart w:id="369" w:name="Tc_W3ci2jOvDEGGw_IBrHo93A_8_0"/>
      <w:bookmarkStart w:id="370" w:name="Tc_UfrmpDHPoUOrifRCnPrxtA_7_14"/>
      <w:bookmarkStart w:id="371" w:name="Tc_TSu0Pk9KNkuqN64Q6kb41g_7_11"/>
      <w:bookmarkStart w:id="372" w:name="Tc_OB1JMabwk0KRBFlGMxtrDw_7_5"/>
      <w:bookmarkStart w:id="373" w:name="Tc_UGXDEHh21UiGIBnqpHtgzQ_7_0"/>
      <w:bookmarkStart w:id="374" w:name="Tc_bJC1mm8z4keFjDMdaT7FNw_6_16"/>
      <w:bookmarkStart w:id="375" w:name="Tc_BkAYiWeBE0GYJEMcgWQ0Jw_6_13"/>
      <w:bookmarkStart w:id="376" w:name="Tc_DQTIt3QhSUKSPPlCWH3aTQ_6_10"/>
      <w:bookmarkStart w:id="377" w:name="Tc_e8bnMSyJn0ywDXf8j6zACg_6_7"/>
      <w:bookmarkStart w:id="378" w:name="Tc_m1LDZ49e-Eq4_Qk5b2upsQ_6_4"/>
      <w:bookmarkStart w:id="379" w:name="Tc_Gm1T3M-BvUWtUo6OOV-CAw_6_0"/>
      <w:bookmarkStart w:id="380" w:name="Tc_Id4srCS0hkuVabaVNxMUxg_5_16"/>
      <w:bookmarkStart w:id="381" w:name="Tc_UtaFrukuskGezna1Ht_RtA_5_13"/>
      <w:bookmarkStart w:id="382" w:name="Tc_WpcjL-70ZUuvXRjCrP988g_5_10"/>
      <w:bookmarkStart w:id="383" w:name="Tc__E559oO_5ky7lgL-GoYwqg_5_7"/>
      <w:bookmarkStart w:id="384" w:name="Tc_NR4TLx2cP0WZRlReI6N4Ww_5_4"/>
      <w:bookmarkStart w:id="385" w:name="Tc_hMET5UYbPEyWZNtambbVMQ_5_2"/>
      <w:bookmarkStart w:id="386" w:name="Tc_TBCpMyUEZ0WvqiyCysL9-A_4_16"/>
      <w:bookmarkStart w:id="387" w:name="Tc_O6_2CtyQd0uZAUSeyIbTHg_4_13"/>
      <w:bookmarkStart w:id="388" w:name="Tc_1zk5WBd3fku7RpF3slIbxA_4_10"/>
      <w:bookmarkStart w:id="389" w:name="Tc_lTetcE-vYE-SZu9mXcmpeA_4_7"/>
      <w:bookmarkStart w:id="390" w:name="Tc_1nwPzcJ_lEyVC6e93dwYOw_4_2"/>
      <w:bookmarkStart w:id="391" w:name="Tc_5DDFBgiqtEyXyUrx_2lRzw_3_16"/>
      <w:bookmarkStart w:id="392" w:name="Tc_djnzGBGbb0qvKLnKdBuDvQ_3_10"/>
      <w:bookmarkStart w:id="393" w:name="Tc_hA3Pr5ZOIE2E6DJ9glEPrA_3_7"/>
      <w:bookmarkStart w:id="394" w:name="Tc_oiZdcnLSSUarHmf4XtJR_A_2_10"/>
      <w:bookmarkStart w:id="395" w:name="Tc_xKN_OdaA4k2B5toVzf4ezA_1_2"/>
      <w:bookmarkStart w:id="396" w:name="_9231e40d_8a65_44b5_9df7_0f6529b4f75c"/>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tbl>
      <w:tblPr>
        <w:tblW w:w="10205" w:type="dxa"/>
        <w:jc w:val="left"/>
        <w:tblInd w:w="0" w:type="dxa"/>
        <w:tblLayout w:type="fixed"/>
        <w:tblCellMar>
          <w:top w:w="0" w:type="dxa"/>
          <w:left w:w="0" w:type="dxa"/>
          <w:bottom w:w="0" w:type="dxa"/>
          <w:right w:w="0" w:type="dxa"/>
        </w:tblCellMar>
      </w:tblPr>
      <w:tblGrid>
        <w:gridCol w:w="2769"/>
        <w:gridCol w:w="346"/>
        <w:gridCol w:w="916"/>
        <w:gridCol w:w="346"/>
        <w:gridCol w:w="206"/>
        <w:gridCol w:w="365"/>
        <w:gridCol w:w="346"/>
        <w:gridCol w:w="196"/>
        <w:gridCol w:w="691"/>
        <w:gridCol w:w="346"/>
        <w:gridCol w:w="260"/>
        <w:gridCol w:w="761"/>
        <w:gridCol w:w="346"/>
        <w:gridCol w:w="196"/>
        <w:gridCol w:w="776"/>
        <w:gridCol w:w="346"/>
        <w:gridCol w:w="196"/>
        <w:gridCol w:w="797"/>
      </w:tblGrid>
      <w:tr>
        <w:trPr/>
        <w:tc>
          <w:tcPr>
            <w:tcW w:w="27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758315" cy="175260"/>
                      <wp:effectExtent l="0" t="0" r="0" b="0"/>
                      <wp:wrapNone/>
                      <wp:docPr id="29" name="Frame29"/>
                      <a:graphic xmlns:a="http://schemas.openxmlformats.org/drawingml/2006/main">
                        <a:graphicData uri="http://schemas.microsoft.com/office/word/2010/wordprocessingShape">
                          <wps:wsp>
                            <wps:cNvSpPr txBox="1"/>
                            <wps:spPr>
                              <a:xfrm>
                                <a:off x="0" y="0"/>
                                <a:ext cx="17583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219710" cy="175260"/>
                      <wp:effectExtent l="0" t="0" r="0" b="0"/>
                      <wp:wrapNone/>
                      <wp:docPr id="30" name="Frame3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81660" cy="175260"/>
                      <wp:effectExtent l="0" t="0" r="0" b="0"/>
                      <wp:wrapNone/>
                      <wp:docPr id="31" name="Frame3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19710" cy="175260"/>
                      <wp:effectExtent l="0" t="0" r="0" b="0"/>
                      <wp:wrapNone/>
                      <wp:docPr id="32" name="Frame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0810" cy="175260"/>
                      <wp:effectExtent l="0" t="0" r="0" b="0"/>
                      <wp:wrapNone/>
                      <wp:docPr id="33" name="Frame33"/>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31775" cy="175260"/>
                      <wp:effectExtent l="0" t="0" r="0" b="0"/>
                      <wp:wrapNone/>
                      <wp:docPr id="34" name="Frame34"/>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19710" cy="175260"/>
                      <wp:effectExtent l="0" t="0" r="0" b="0"/>
                      <wp:wrapNone/>
                      <wp:docPr id="35" name="Frame3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19710" cy="175260"/>
                      <wp:effectExtent l="0" t="0" r="0" b="0"/>
                      <wp:wrapNone/>
                      <wp:docPr id="38" name="Frame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65100" cy="175260"/>
                      <wp:effectExtent l="0" t="0" r="0" b="0"/>
                      <wp:wrapNone/>
                      <wp:docPr id="39" name="Frame39"/>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83235" cy="175260"/>
                      <wp:effectExtent l="0" t="0" r="0" b="0"/>
                      <wp:wrapNone/>
                      <wp:docPr id="40" name="Frame40"/>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19710" cy="175260"/>
                      <wp:effectExtent l="0" t="0" r="0" b="0"/>
                      <wp:wrapNone/>
                      <wp:docPr id="41" name="Frame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24460" cy="175260"/>
                      <wp:effectExtent l="0" t="0" r="0" b="0"/>
                      <wp:wrapNone/>
                      <wp:docPr id="42" name="Frame42"/>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492760" cy="175260"/>
                      <wp:effectExtent l="0" t="0" r="0" b="0"/>
                      <wp:wrapNone/>
                      <wp:docPr id="43" name="Frame43"/>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19710" cy="175260"/>
                      <wp:effectExtent l="0" t="0" r="0" b="0"/>
                      <wp:wrapNone/>
                      <wp:docPr id="44" name="Frame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24460" cy="175260"/>
                      <wp:effectExtent l="0" t="0" r="0" b="0"/>
                      <wp:wrapNone/>
                      <wp:docPr id="45" name="Frame45"/>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506095" cy="175260"/>
                      <wp:effectExtent l="0" t="0" r="0" b="0"/>
                      <wp:wrapNone/>
                      <wp:docPr id="46" name="Frame46"/>
                      <a:graphic xmlns:a="http://schemas.openxmlformats.org/drawingml/2006/main">
                        <a:graphicData uri="http://schemas.microsoft.com/office/word/2010/wordprocessingShape">
                          <wps:wsp>
                            <wps:cNvSpPr txBox="1"/>
                            <wps:spPr>
                              <a:xfrm>
                                <a:off x="0" y="0"/>
                                <a:ext cx="5060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76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090"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2026</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97" w:type="dxa"/>
            <w:tcBorders/>
            <w:vAlign w:val="center"/>
          </w:tcPr>
          <w:p>
            <w:pPr>
              <w:pStyle w:val="TableContents"/>
              <w:bidi w:val="0"/>
              <w:spacing w:lineRule="auto" w:line="285" w:before="0" w:after="0"/>
              <w:ind w:left="0" w:right="0" w:hanging="0"/>
              <w:jc w:val="center"/>
              <w:rPr/>
            </w:pPr>
            <w:r>
              <w:rPr/>
              <w:t>​</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97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993"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76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993"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74,696,629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474,387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(896)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(412,293)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61,205</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308,017</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1,339</w:t>
            </w:r>
          </w:p>
        </w:tc>
      </w:tr>
      <w:tr>
        <w:trPr/>
        <w:tc>
          <w:tcPr>
            <w:tcW w:w="2769"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follow-on public offering,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9,085,778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189,407</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2,650</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(334)</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104</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(13,692)</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2026</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84,090,424</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667,782</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(1,126)</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(425,985)</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240,679</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30,520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166</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2,609</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2,609</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9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(487)</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320</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97"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320</w:t>
            </w:r>
          </w:p>
        </w:tc>
      </w:tr>
      <w:tr>
        <w:trPr/>
        <w:tc>
          <w:tcPr>
            <w:tcW w:w="276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9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(17,959)</w:t>
            </w:r>
          </w:p>
        </w:tc>
      </w:tr>
      <w:tr>
        <w:trPr/>
        <w:tc>
          <w:tcPr>
            <w:tcW w:w="2769"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2026</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84,120,944</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670,557</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(1,293)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(443,944)</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97"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225,328</w:t>
            </w:r>
          </w:p>
        </w:tc>
      </w:tr>
    </w:tbl>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97" w:name="Tc_lCY2MBH-6Eqfvt9Kv3m0cA_20_16"/>
      <w:bookmarkStart w:id="398" w:name="Tc_hzkL_Nx-q0evGSx4IW2LMg_20_13"/>
      <w:bookmarkStart w:id="399" w:name="Tc_pyKIDEleAECgZGKC-wKGWw_20_10"/>
      <w:bookmarkStart w:id="400" w:name="Tc_GgFmMV8WnkKifj33p85adQ_20_7"/>
      <w:bookmarkStart w:id="401" w:name="Tc_4__lI0lSbEiP8d2fQH_f9A_20_4"/>
      <w:bookmarkStart w:id="402" w:name="Tc_Y-obzDgVbECFChD7dvqe_Q_20_0"/>
      <w:bookmarkStart w:id="403" w:name="Tc_wq_wLgvsZkWzyK0UCNx2Ug_19_11"/>
      <w:bookmarkStart w:id="404" w:name="Tc_iKnye0S7ikilkTpmX8dhqw_19_8"/>
      <w:bookmarkStart w:id="405" w:name="Tc_5jN0KUA1w0WwbyevLQkTMQ_19_5"/>
      <w:bookmarkStart w:id="406" w:name="Tc_JWUrltJkCECLiVVGDhNBlw_19_2"/>
      <w:bookmarkStart w:id="407" w:name="Tc_UUfKBa-FuU2pdq6BP_wC3Q_19_0"/>
      <w:bookmarkStart w:id="408" w:name="Tc_TE5oHk-oD0qbemFZKsPd_Q_18_14"/>
      <w:bookmarkStart w:id="409" w:name="Tc_Dzm4Bf_9kE-DcOZ3d8bOVA_18_8"/>
      <w:bookmarkStart w:id="410" w:name="Tc_x0z7nZwpJEm5OzFUmmpIiw_18_5"/>
      <w:bookmarkStart w:id="411" w:name="Tc_4wm_1cXaq0e_a49ubgbkNA_18_2"/>
      <w:bookmarkStart w:id="412" w:name="Tc_kQ5VAQSntUS1wee6niNlWQ_18_0"/>
      <w:bookmarkStart w:id="413" w:name="Tc_0W1Bx4hvO0qanusZY35vgg_17_14"/>
      <w:bookmarkStart w:id="414" w:name="Tc_lfhwxOS8LU-jd8_UZK4ETQ_17_8"/>
      <w:bookmarkStart w:id="415" w:name="Tc_zEm5GcIqRU-DCRaOMhJAmg_17_5"/>
      <w:bookmarkStart w:id="416" w:name="Tc_6F8t_Yd6F0iOn6apewHhDg_17_2"/>
      <w:bookmarkStart w:id="417" w:name="Tc_oxQnHznxkUOvh_pSXEyZzA_17_0"/>
      <w:bookmarkStart w:id="418" w:name="Tc_fNi02S7yOUO0ZUF94pEy9A_16_14"/>
      <w:bookmarkStart w:id="419" w:name="Tc_xMu0iX0GYkeJx8PGvUrXDA_16_11"/>
      <w:bookmarkStart w:id="420" w:name="Tc_5dBe2IrvYUGSCrDZjh_Cqg_16_5"/>
      <w:bookmarkStart w:id="421" w:name="Tc_j6hCDqqCJ0OL28LuO9pOeQ_16_2"/>
      <w:bookmarkStart w:id="422" w:name="Tc_vx6V9Da24EONguqvlvgtaw_16_0"/>
      <w:bookmarkStart w:id="423" w:name="Tc_jO6V292YRkiVysMtgVuJbw_15_14"/>
      <w:bookmarkStart w:id="424" w:name="Tc_rS7OCthyiUSeGUIVkZZr8w_15_11"/>
      <w:bookmarkStart w:id="425" w:name="Tc_kTe2wWD0LE6cbR8TU9_9eQ_15_5"/>
      <w:bookmarkStart w:id="426" w:name="Tc_kkfv36ygU0GakSebEwqMCg_15_0"/>
      <w:bookmarkStart w:id="427" w:name="Tc_4CX9rcbpvEq9eraeqxxXow_14_14"/>
      <w:bookmarkStart w:id="428" w:name="Tc_011j19Zduk-bcZs3MhBhVw_14_11"/>
      <w:bookmarkStart w:id="429" w:name="Tc_evHNd_7zY0eHqwxfRSJZ8g_14_5"/>
      <w:bookmarkStart w:id="430" w:name="Tc_2oEKvRQujUiKjMq_n0Qtiw_14_2"/>
      <w:bookmarkStart w:id="431" w:name="Tc_4mQaDwvck06hHipAfTB14Q_14_0"/>
      <w:bookmarkStart w:id="432" w:name="Tc_bkbxEJF6ukS6HYnsId6k6w_13_14"/>
      <w:bookmarkStart w:id="433" w:name="Tc_jA1WiXYKRkyNClxZ180B5Q_13_11"/>
      <w:bookmarkStart w:id="434" w:name="Tc__6dZoCX3wEG3gFSbsj-RsA_13_5"/>
      <w:bookmarkStart w:id="435" w:name="Tc_w-Keh3k-4kqEo3X8XwrztQ_13_0"/>
      <w:bookmarkStart w:id="436" w:name="Tc_kYbU9SQxjUOTRNAfgV3-hg_12_16"/>
      <w:bookmarkStart w:id="437" w:name="Tc_Ha8FUGjFhkCtxnoAXcBLbA_12_13"/>
      <w:bookmarkStart w:id="438" w:name="Tc_YOic9KQwhkCXDUySTXdk-g_12_10"/>
      <w:bookmarkStart w:id="439" w:name="Tc_efYhA2AALku5giXtSWlnog_12_7"/>
      <w:bookmarkStart w:id="440" w:name="Tc_hytXtgZ0IU6Nytyej1EzRA_12_4"/>
      <w:bookmarkStart w:id="441" w:name="Tc_JjiTI7JamU2ulArg3ttK-w_12_0"/>
      <w:bookmarkStart w:id="442" w:name="Tc_OUu_wnsYnkqRyxpQnlRLCw_11_11"/>
      <w:bookmarkStart w:id="443" w:name="Tc_-6sgHcITN0O84FJlVMzpTw_11_8"/>
      <w:bookmarkStart w:id="444" w:name="Tc_4roip9nKTUujIidPowknKw_11_5"/>
      <w:bookmarkStart w:id="445" w:name="Tc_V99t254R5USYeRzpGu6FxQ_11_2"/>
      <w:bookmarkStart w:id="446" w:name="Tc__YwU8tDLcEesx70PJKk3fA_11_0"/>
      <w:bookmarkStart w:id="447" w:name="Tc_ajQe-UqNVUaXrizwbaLYxg_10_14"/>
      <w:bookmarkStart w:id="448" w:name="Tc_9MDDASsCAEKVtHzW7XWo0w_10_8"/>
      <w:bookmarkStart w:id="449" w:name="Tc_xjao9ALHsUSe_d6j-BrH-w_10_5"/>
      <w:bookmarkStart w:id="450" w:name="Tc_z6d2RReFrU-AR-17bqSEtA_10_2"/>
      <w:bookmarkStart w:id="451" w:name="Tc_5zSVuzJNtE-omOhmdwsW2g_10_0"/>
      <w:bookmarkStart w:id="452" w:name="Tc_mJX7tm4a2kagtXS1e1lTzg_9_14"/>
      <w:bookmarkStart w:id="453" w:name="Tc_IW1pPFEyokGMaQMr-C3GKg_9_8"/>
      <w:bookmarkStart w:id="454" w:name="Tc_2xNAnRLcCk6EmjeldJ0iRw_9_5"/>
      <w:bookmarkStart w:id="455" w:name="Tc__Zhe69M_m0uHsd1g7B_vDw_9_2"/>
      <w:bookmarkStart w:id="456" w:name="Tc_eJ-t_IinSky66lFHD9o7Ug_9_0"/>
      <w:bookmarkStart w:id="457" w:name="Tc_XV8SWTpVsUKg9RmaDPiXrg_8_14"/>
      <w:bookmarkStart w:id="458" w:name="Tc_Xfjy1CpOBkWA0LBCnfhoqQ_8_11"/>
      <w:bookmarkStart w:id="459" w:name="Tc_0P5eWBIz0UStvBHeSDlReg_8_5"/>
      <w:bookmarkStart w:id="460" w:name="Tc_q_8hfTdJQ02Z59KYCOw3Sg_8_2"/>
      <w:bookmarkStart w:id="461" w:name="Tc_6oONe7KRiEuUz60Ey_JIqg_8_0"/>
      <w:bookmarkStart w:id="462" w:name="Tc_OEiZ3uUle0a8mN_YZTY-mw_7_14"/>
      <w:bookmarkStart w:id="463" w:name="Tc_EnX8MK01cUa267sA1r79AA_7_11"/>
      <w:bookmarkStart w:id="464" w:name="Tc_i97EVz0xAUS_vGcMeEyxLA_7_5"/>
      <w:bookmarkStart w:id="465" w:name="Tc_fVWF7k1pLEiO2aUfvaafEg_7_0"/>
      <w:bookmarkStart w:id="466" w:name="Tc_JeQK3dVoWUySMX2-t_qUgA_6_16"/>
      <w:bookmarkStart w:id="467" w:name="Tc_ow4naidtlUW-764GCpc_gQ_6_13"/>
      <w:bookmarkStart w:id="468" w:name="Tc_Nlrd48-prkiU-HiFpusS5w_6_10"/>
      <w:bookmarkStart w:id="469" w:name="Tc_GUTBpK-ijUqa30tBZgmt0w_6_7"/>
      <w:bookmarkStart w:id="470" w:name="Tc_xB2k-kAD0U2f0V902aCFEA_6_4"/>
      <w:bookmarkStart w:id="471" w:name="Tc_pFENNsBJ9kexzBDty2cRQQ_6_0"/>
      <w:bookmarkStart w:id="472" w:name="Tc_D1WPG26OHEWiyXEc6XdVcA_5_16"/>
      <w:bookmarkStart w:id="473" w:name="Tc_1SanM7hsG0GmBeD8cAsTOA_5_13"/>
      <w:bookmarkStart w:id="474" w:name="Tc_9um4sj--oEWnjrJJU4uISw_5_10"/>
      <w:bookmarkStart w:id="475" w:name="Tc_GdPGpBxYi06OUyHmCjAxDw_5_7"/>
      <w:bookmarkStart w:id="476" w:name="Tc_EbGtlHfgBUeph10paP0qeA_5_4"/>
      <w:bookmarkStart w:id="477" w:name="Tc_-ET0E9Sh6EuXX5WmptxrDg_5_2"/>
      <w:bookmarkStart w:id="478" w:name="Tc_HDoJItJKyEC4C2gsT6WhYA_4_16"/>
      <w:bookmarkStart w:id="479" w:name="Tc_w8-FU-g4-EGDYs1y2Gkuig_4_13"/>
      <w:bookmarkStart w:id="480" w:name="Tc_KaEEq5nynE2aWRT8mP6Bvg_4_10"/>
      <w:bookmarkStart w:id="481" w:name="Tc_lmxMEQ1KVUmDa6oUiMNKqg_4_7"/>
      <w:bookmarkStart w:id="482" w:name="Tc_ql68i9Qyu0-EOj6MsK0rgQ_4_2"/>
      <w:bookmarkStart w:id="483" w:name="Tc_uehsar9iXkyc1SgW3LH0Pw_3_16"/>
      <w:bookmarkStart w:id="484" w:name="Tc_tq5iTqpdlEKIZYjQESCxsg_3_10"/>
      <w:bookmarkStart w:id="485" w:name="Tc_d-RvI5S8tUWOfBH3hoqgwA_3_7"/>
      <w:bookmarkStart w:id="486" w:name="Tc_nwlg_fe9iEauLuS0hN-sjQ_2_10"/>
      <w:bookmarkStart w:id="487" w:name="Tc__1pfHu4Hy0OMocjLkLhJSg_1_2"/>
      <w:bookmarkStart w:id="488" w:name="_2744fd87_5d57_4320_9a2b_319ad7ea27d0"/>
      <w:bookmarkStart w:id="489" w:name="Tc_lCY2MBH-6Eqfvt9Kv3m0cA_20_16"/>
      <w:bookmarkStart w:id="490" w:name="Tc_hzkL_Nx-q0evGSx4IW2LMg_20_13"/>
      <w:bookmarkStart w:id="491" w:name="Tc_pyKIDEleAECgZGKC-wKGWw_20_10"/>
      <w:bookmarkStart w:id="492" w:name="Tc_GgFmMV8WnkKifj33p85adQ_20_7"/>
      <w:bookmarkStart w:id="493" w:name="Tc_4__lI0lSbEiP8d2fQH_f9A_20_4"/>
      <w:bookmarkStart w:id="494" w:name="Tc_Y-obzDgVbECFChD7dvqe_Q_20_0"/>
      <w:bookmarkStart w:id="495" w:name="Tc_wq_wLgvsZkWzyK0UCNx2Ug_19_11"/>
      <w:bookmarkStart w:id="496" w:name="Tc_iKnye0S7ikilkTpmX8dhqw_19_8"/>
      <w:bookmarkStart w:id="497" w:name="Tc_5jN0KUA1w0WwbyevLQkTMQ_19_5"/>
      <w:bookmarkStart w:id="498" w:name="Tc_JWUrltJkCECLiVVGDhNBlw_19_2"/>
      <w:bookmarkStart w:id="499" w:name="Tc_UUfKBa-FuU2pdq6BP_wC3Q_19_0"/>
      <w:bookmarkStart w:id="500" w:name="Tc_TE5oHk-oD0qbemFZKsPd_Q_18_14"/>
      <w:bookmarkStart w:id="501" w:name="Tc_Dzm4Bf_9kE-DcOZ3d8bOVA_18_8"/>
      <w:bookmarkStart w:id="502" w:name="Tc_x0z7nZwpJEm5OzFUmmpIiw_18_5"/>
      <w:bookmarkStart w:id="503" w:name="Tc_4wm_1cXaq0e_a49ubgbkNA_18_2"/>
      <w:bookmarkStart w:id="504" w:name="Tc_kQ5VAQSntUS1wee6niNlWQ_18_0"/>
      <w:bookmarkStart w:id="505" w:name="Tc_0W1Bx4hvO0qanusZY35vgg_17_14"/>
      <w:bookmarkStart w:id="506" w:name="Tc_lfhwxOS8LU-jd8_UZK4ETQ_17_8"/>
      <w:bookmarkStart w:id="507" w:name="Tc_zEm5GcIqRU-DCRaOMhJAmg_17_5"/>
      <w:bookmarkStart w:id="508" w:name="Tc_6F8t_Yd6F0iOn6apewHhDg_17_2"/>
      <w:bookmarkStart w:id="509" w:name="Tc_oxQnHznxkUOvh_pSXEyZzA_17_0"/>
      <w:bookmarkStart w:id="510" w:name="Tc_fNi02S7yOUO0ZUF94pEy9A_16_14"/>
      <w:bookmarkStart w:id="511" w:name="Tc_xMu0iX0GYkeJx8PGvUrXDA_16_11"/>
      <w:bookmarkStart w:id="512" w:name="Tc_5dBe2IrvYUGSCrDZjh_Cqg_16_5"/>
      <w:bookmarkStart w:id="513" w:name="Tc_j6hCDqqCJ0OL28LuO9pOeQ_16_2"/>
      <w:bookmarkStart w:id="514" w:name="Tc_vx6V9Da24EONguqvlvgtaw_16_0"/>
      <w:bookmarkStart w:id="515" w:name="Tc_jO6V292YRkiVysMtgVuJbw_15_14"/>
      <w:bookmarkStart w:id="516" w:name="Tc_rS7OCthyiUSeGUIVkZZr8w_15_11"/>
      <w:bookmarkStart w:id="517" w:name="Tc_kTe2wWD0LE6cbR8TU9_9eQ_15_5"/>
      <w:bookmarkStart w:id="518" w:name="Tc_kkfv36ygU0GakSebEwqMCg_15_0"/>
      <w:bookmarkStart w:id="519" w:name="Tc_4CX9rcbpvEq9eraeqxxXow_14_14"/>
      <w:bookmarkStart w:id="520" w:name="Tc_011j19Zduk-bcZs3MhBhVw_14_11"/>
      <w:bookmarkStart w:id="521" w:name="Tc_evHNd_7zY0eHqwxfRSJZ8g_14_5"/>
      <w:bookmarkStart w:id="522" w:name="Tc_2oEKvRQujUiKjMq_n0Qtiw_14_2"/>
      <w:bookmarkStart w:id="523" w:name="Tc_4mQaDwvck06hHipAfTB14Q_14_0"/>
      <w:bookmarkStart w:id="524" w:name="Tc_bkbxEJF6ukS6HYnsId6k6w_13_14"/>
      <w:bookmarkStart w:id="525" w:name="Tc_jA1WiXYKRkyNClxZ180B5Q_13_11"/>
      <w:bookmarkStart w:id="526" w:name="Tc__6dZoCX3wEG3gFSbsj-RsA_13_5"/>
      <w:bookmarkStart w:id="527" w:name="Tc_w-Keh3k-4kqEo3X8XwrztQ_13_0"/>
      <w:bookmarkStart w:id="528" w:name="Tc_kYbU9SQxjUOTRNAfgV3-hg_12_16"/>
      <w:bookmarkStart w:id="529" w:name="Tc_Ha8FUGjFhkCtxnoAXcBLbA_12_13"/>
      <w:bookmarkStart w:id="530" w:name="Tc_YOic9KQwhkCXDUySTXdk-g_12_10"/>
      <w:bookmarkStart w:id="531" w:name="Tc_efYhA2AALku5giXtSWlnog_12_7"/>
      <w:bookmarkStart w:id="532" w:name="Tc_hytXtgZ0IU6Nytyej1EzRA_12_4"/>
      <w:bookmarkStart w:id="533" w:name="Tc_JjiTI7JamU2ulArg3ttK-w_12_0"/>
      <w:bookmarkStart w:id="534" w:name="Tc_OUu_wnsYnkqRyxpQnlRLCw_11_11"/>
      <w:bookmarkStart w:id="535" w:name="Tc_-6sgHcITN0O84FJlVMzpTw_11_8"/>
      <w:bookmarkStart w:id="536" w:name="Tc_4roip9nKTUujIidPowknKw_11_5"/>
      <w:bookmarkStart w:id="537" w:name="Tc_V99t254R5USYeRzpGu6FxQ_11_2"/>
      <w:bookmarkStart w:id="538" w:name="Tc__YwU8tDLcEesx70PJKk3fA_11_0"/>
      <w:bookmarkStart w:id="539" w:name="Tc_ajQe-UqNVUaXrizwbaLYxg_10_14"/>
      <w:bookmarkStart w:id="540" w:name="Tc_9MDDASsCAEKVtHzW7XWo0w_10_8"/>
      <w:bookmarkStart w:id="541" w:name="Tc_xjao9ALHsUSe_d6j-BrH-w_10_5"/>
      <w:bookmarkStart w:id="542" w:name="Tc_z6d2RReFrU-AR-17bqSEtA_10_2"/>
      <w:bookmarkStart w:id="543" w:name="Tc_5zSVuzJNtE-omOhmdwsW2g_10_0"/>
      <w:bookmarkStart w:id="544" w:name="Tc_mJX7tm4a2kagtXS1e1lTzg_9_14"/>
      <w:bookmarkStart w:id="545" w:name="Tc_IW1pPFEyokGMaQMr-C3GKg_9_8"/>
      <w:bookmarkStart w:id="546" w:name="Tc_2xNAnRLcCk6EmjeldJ0iRw_9_5"/>
      <w:bookmarkStart w:id="547" w:name="Tc__Zhe69M_m0uHsd1g7B_vDw_9_2"/>
      <w:bookmarkStart w:id="548" w:name="Tc_eJ-t_IinSky66lFHD9o7Ug_9_0"/>
      <w:bookmarkStart w:id="549" w:name="Tc_XV8SWTpVsUKg9RmaDPiXrg_8_14"/>
      <w:bookmarkStart w:id="550" w:name="Tc_Xfjy1CpOBkWA0LBCnfhoqQ_8_11"/>
      <w:bookmarkStart w:id="551" w:name="Tc_0P5eWBIz0UStvBHeSDlReg_8_5"/>
      <w:bookmarkStart w:id="552" w:name="Tc_q_8hfTdJQ02Z59KYCOw3Sg_8_2"/>
      <w:bookmarkStart w:id="553" w:name="Tc_6oONe7KRiEuUz60Ey_JIqg_8_0"/>
      <w:bookmarkStart w:id="554" w:name="Tc_OEiZ3uUle0a8mN_YZTY-mw_7_14"/>
      <w:bookmarkStart w:id="555" w:name="Tc_EnX8MK01cUa267sA1r79AA_7_11"/>
      <w:bookmarkStart w:id="556" w:name="Tc_i97EVz0xAUS_vGcMeEyxLA_7_5"/>
      <w:bookmarkStart w:id="557" w:name="Tc_fVWF7k1pLEiO2aUfvaafEg_7_0"/>
      <w:bookmarkStart w:id="558" w:name="Tc_JeQK3dVoWUySMX2-t_qUgA_6_16"/>
      <w:bookmarkStart w:id="559" w:name="Tc_ow4naidtlUW-764GCpc_gQ_6_13"/>
      <w:bookmarkStart w:id="560" w:name="Tc_Nlrd48-prkiU-HiFpusS5w_6_10"/>
      <w:bookmarkStart w:id="561" w:name="Tc_GUTBpK-ijUqa30tBZgmt0w_6_7"/>
      <w:bookmarkStart w:id="562" w:name="Tc_xB2k-kAD0U2f0V902aCFEA_6_4"/>
      <w:bookmarkStart w:id="563" w:name="Tc_pFENNsBJ9kexzBDty2cRQQ_6_0"/>
      <w:bookmarkStart w:id="564" w:name="Tc_D1WPG26OHEWiyXEc6XdVcA_5_16"/>
      <w:bookmarkStart w:id="565" w:name="Tc_1SanM7hsG0GmBeD8cAsTOA_5_13"/>
      <w:bookmarkStart w:id="566" w:name="Tc_9um4sj--oEWnjrJJU4uISw_5_10"/>
      <w:bookmarkStart w:id="567" w:name="Tc_GdPGpBxYi06OUyHmCjAxDw_5_7"/>
      <w:bookmarkStart w:id="568" w:name="Tc_EbGtlHfgBUeph10paP0qeA_5_4"/>
      <w:bookmarkStart w:id="569" w:name="Tc_-ET0E9Sh6EuXX5WmptxrDg_5_2"/>
      <w:bookmarkStart w:id="570" w:name="Tc_HDoJItJKyEC4C2gsT6WhYA_4_16"/>
      <w:bookmarkStart w:id="571" w:name="Tc_w8-FU-g4-EGDYs1y2Gkuig_4_13"/>
      <w:bookmarkStart w:id="572" w:name="Tc_KaEEq5nynE2aWRT8mP6Bvg_4_10"/>
      <w:bookmarkStart w:id="573" w:name="Tc_lmxMEQ1KVUmDa6oUiMNKqg_4_7"/>
      <w:bookmarkStart w:id="574" w:name="Tc_ql68i9Qyu0-EOj6MsK0rgQ_4_2"/>
      <w:bookmarkStart w:id="575" w:name="Tc_uehsar9iXkyc1SgW3LH0Pw_3_16"/>
      <w:bookmarkStart w:id="576" w:name="Tc_tq5iTqpdlEKIZYjQESCxsg_3_10"/>
      <w:bookmarkStart w:id="577" w:name="Tc_d-RvI5S8tUWOfBH3hoqgwA_3_7"/>
      <w:bookmarkStart w:id="578" w:name="Tc_nwlg_fe9iEauLuS0hN-sjQ_2_10"/>
      <w:bookmarkStart w:id="579" w:name="Tc__1pfHu4Hy0OMocjLkLhJSg_1_2"/>
      <w:bookmarkStart w:id="580" w:name="_2744fd87_5d57_4320_9a2b_319ad7ea27d0"/>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p>
    <w:tbl>
      <w:tblPr>
        <w:tblW w:w="10205" w:type="dxa"/>
        <w:jc w:val="left"/>
        <w:tblInd w:w="0" w:type="dxa"/>
        <w:tblLayout w:type="fixed"/>
        <w:tblCellMar>
          <w:top w:w="0" w:type="dxa"/>
          <w:left w:w="0" w:type="dxa"/>
          <w:bottom w:w="0" w:type="dxa"/>
          <w:right w:w="0" w:type="dxa"/>
        </w:tblCellMar>
      </w:tblPr>
      <w:tblGrid>
        <w:gridCol w:w="2819"/>
        <w:gridCol w:w="346"/>
        <w:gridCol w:w="916"/>
        <w:gridCol w:w="346"/>
        <w:gridCol w:w="206"/>
        <w:gridCol w:w="365"/>
        <w:gridCol w:w="346"/>
        <w:gridCol w:w="196"/>
        <w:gridCol w:w="691"/>
        <w:gridCol w:w="346"/>
        <w:gridCol w:w="260"/>
        <w:gridCol w:w="761"/>
        <w:gridCol w:w="346"/>
        <w:gridCol w:w="196"/>
        <w:gridCol w:w="771"/>
        <w:gridCol w:w="346"/>
        <w:gridCol w:w="205"/>
        <w:gridCol w:w="743"/>
      </w:tblGrid>
      <w:tr>
        <w:trPr/>
        <w:tc>
          <w:tcPr>
            <w:tcW w:w="28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790065" cy="175260"/>
                      <wp:effectExtent l="0" t="0" r="0" b="0"/>
                      <wp:wrapNone/>
                      <wp:docPr id="47" name="Frame47"/>
                      <a:graphic xmlns:a="http://schemas.openxmlformats.org/drawingml/2006/main">
                        <a:graphicData uri="http://schemas.microsoft.com/office/word/2010/wordprocessingShape">
                          <wps:wsp>
                            <wps:cNvSpPr txBox="1"/>
                            <wps:spPr>
                              <a:xfrm>
                                <a:off x="0" y="0"/>
                                <a:ext cx="17900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19710" cy="175260"/>
                      <wp:effectExtent l="0" t="0" r="0" b="0"/>
                      <wp:wrapNone/>
                      <wp:docPr id="48" name="Frame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581660" cy="175260"/>
                      <wp:effectExtent l="0" t="0" r="0" b="0"/>
                      <wp:wrapNone/>
                      <wp:docPr id="49" name="Frame49"/>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219710" cy="175260"/>
                      <wp:effectExtent l="0" t="0" r="0" b="0"/>
                      <wp:wrapNone/>
                      <wp:docPr id="50" name="Frame5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0810" cy="175260"/>
                      <wp:effectExtent l="0" t="0" r="0" b="0"/>
                      <wp:wrapNone/>
                      <wp:docPr id="51" name="Frame5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31775" cy="175260"/>
                      <wp:effectExtent l="0" t="0" r="0" b="0"/>
                      <wp:wrapNone/>
                      <wp:docPr id="52" name="Frame52"/>
                      <a:graphic xmlns:a="http://schemas.openxmlformats.org/drawingml/2006/main">
                        <a:graphicData uri="http://schemas.microsoft.com/office/word/2010/wordprocessingShape">
                          <wps:wsp>
                            <wps:cNvSpPr txBox="1"/>
                            <wps:spPr>
                              <a:xfrm>
                                <a:off x="0" y="0"/>
                                <a:ext cx="2317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19710" cy="175260"/>
                      <wp:effectExtent l="0" t="0" r="0" b="0"/>
                      <wp:wrapNone/>
                      <wp:docPr id="53" name="Frame5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24460" cy="175260"/>
                      <wp:effectExtent l="0" t="0" r="0" b="0"/>
                      <wp:wrapNone/>
                      <wp:docPr id="54" name="Frame54"/>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38785" cy="175260"/>
                      <wp:effectExtent l="0" t="0" r="0" b="0"/>
                      <wp:wrapNone/>
                      <wp:docPr id="55" name="Frame55"/>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219710" cy="175260"/>
                      <wp:effectExtent l="0" t="0" r="0" b="0"/>
                      <wp:wrapNone/>
                      <wp:docPr id="56" name="Frame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65100" cy="175260"/>
                      <wp:effectExtent l="0" t="0" r="0" b="0"/>
                      <wp:wrapNone/>
                      <wp:docPr id="57" name="Frame57"/>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483235" cy="175260"/>
                      <wp:effectExtent l="0" t="0" r="0" b="0"/>
                      <wp:wrapNone/>
                      <wp:docPr id="58" name="Frame58"/>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19710" cy="175260"/>
                      <wp:effectExtent l="0" t="0" r="0" b="0"/>
                      <wp:wrapNone/>
                      <wp:docPr id="59" name="Frame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124460" cy="175260"/>
                      <wp:effectExtent l="0" t="0" r="0" b="0"/>
                      <wp:wrapNone/>
                      <wp:docPr id="60" name="Frame60"/>
                      <a:graphic xmlns:a="http://schemas.openxmlformats.org/drawingml/2006/main">
                        <a:graphicData uri="http://schemas.microsoft.com/office/word/2010/wordprocessingShape">
                          <wps:wsp>
                            <wps:cNvSpPr txBox="1"/>
                            <wps:spPr>
                              <a:xfrm>
                                <a:off x="0" y="0"/>
                                <a:ext cx="124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489585" cy="175260"/>
                      <wp:effectExtent l="0" t="0" r="0" b="0"/>
                      <wp:wrapNone/>
                      <wp:docPr id="61" name="Frame61"/>
                      <a:graphic xmlns:a="http://schemas.openxmlformats.org/drawingml/2006/main">
                        <a:graphicData uri="http://schemas.microsoft.com/office/word/2010/wordprocessingShape">
                          <wps:wsp>
                            <wps:cNvSpPr txBox="1"/>
                            <wps:spPr>
                              <a:xfrm>
                                <a:off x="0" y="0"/>
                                <a:ext cx="489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19710" cy="175260"/>
                      <wp:effectExtent l="0" t="0" r="0" b="0"/>
                      <wp:wrapNone/>
                      <wp:docPr id="62" name="Frame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0175" cy="175260"/>
                      <wp:effectExtent l="0" t="0" r="0" b="0"/>
                      <wp:wrapNone/>
                      <wp:docPr id="63" name="Frame63"/>
                      <a:graphic xmlns:a="http://schemas.openxmlformats.org/drawingml/2006/main">
                        <a:graphicData uri="http://schemas.microsoft.com/office/word/2010/wordprocessingShape">
                          <wps:wsp>
                            <wps:cNvSpPr txBox="1"/>
                            <wps:spPr>
                              <a:xfrm>
                                <a:off x="0" y="0"/>
                                <a:ext cx="1301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471805" cy="175260"/>
                      <wp:effectExtent l="0" t="0" r="0" b="0"/>
                      <wp:wrapNone/>
                      <wp:docPr id="64" name="Frame64"/>
                      <a:graphic xmlns:a="http://schemas.openxmlformats.org/drawingml/2006/main">
                        <a:graphicData uri="http://schemas.microsoft.com/office/word/2010/wordprocessingShape">
                          <wps:wsp>
                            <wps:cNvSpPr txBox="1"/>
                            <wps:spPr>
                              <a:xfrm>
                                <a:off x="0" y="0"/>
                                <a:ext cx="4718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81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7040" w:type="dxa"/>
            <w:gridSpan w:val="16"/>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Six Months Ended June 30, 2025</w:t>
            </w:r>
          </w:p>
        </w:tc>
      </w:tr>
      <w:tr>
        <w:trPr/>
        <w:tc>
          <w:tcPr>
            <w:tcW w:w="281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  ​ ​ ​</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5" w:type="dxa"/>
            <w:tcBorders/>
            <w:vAlign w:val="center"/>
          </w:tcPr>
          <w:p>
            <w:pPr>
              <w:pStyle w:val="TableContents"/>
              <w:bidi w:val="0"/>
              <w:spacing w:lineRule="auto" w:line="285" w:before="0" w:after="0"/>
              <w:ind w:left="0" w:right="0" w:hanging="0"/>
              <w:jc w:val="center"/>
              <w:rPr/>
            </w:pPr>
            <w:r>
              <w:rPr/>
              <w:t>​</w:t>
            </w:r>
          </w:p>
        </w:tc>
        <w:tc>
          <w:tcPr>
            <w:tcW w:w="743" w:type="dxa"/>
            <w:tcBorders/>
            <w:vAlign w:val="center"/>
          </w:tcPr>
          <w:p>
            <w:pPr>
              <w:pStyle w:val="TableContents"/>
              <w:bidi w:val="0"/>
              <w:spacing w:lineRule="auto" w:line="285" w:before="0" w:after="0"/>
              <w:ind w:left="0" w:right="0" w:hanging="0"/>
              <w:jc w:val="center"/>
              <w:rPr/>
            </w:pPr>
            <w:r>
              <w:rPr/>
              <w:t>​</w:t>
            </w:r>
          </w:p>
        </w:tc>
      </w:tr>
      <w:tr>
        <w:trPr/>
        <w:tc>
          <w:tcPr>
            <w:tcW w:w="281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center"/>
              <w:rPr/>
            </w:pPr>
            <w:r>
              <w:rPr/>
              <w:t>​</w:t>
            </w:r>
          </w:p>
        </w:tc>
        <w:tc>
          <w:tcPr>
            <w:tcW w:w="365"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Additional</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center"/>
              <w:rPr/>
            </w:pPr>
            <w:r>
              <w:rPr/>
              <w:t>​</w:t>
            </w:r>
          </w:p>
        </w:tc>
        <w:tc>
          <w:tcPr>
            <w:tcW w:w="77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4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Total</w:t>
            </w:r>
          </w:p>
        </w:tc>
      </w:tr>
      <w:tr>
        <w:trPr/>
        <w:tc>
          <w:tcPr>
            <w:tcW w:w="281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833"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Common Stock</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Paid-in</w:t>
            </w:r>
          </w:p>
        </w:tc>
        <w:tc>
          <w:tcPr>
            <w:tcW w:w="346" w:type="dxa"/>
            <w:tcBorders/>
            <w:vAlign w:val="center"/>
          </w:tcPr>
          <w:p>
            <w:pPr>
              <w:pStyle w:val="TableContents"/>
              <w:bidi w:val="0"/>
              <w:spacing w:lineRule="auto" w:line="285" w:before="0" w:after="0"/>
              <w:ind w:left="0" w:right="0" w:hanging="0"/>
              <w:jc w:val="left"/>
              <w:rPr/>
            </w:pPr>
            <w:r>
              <w:rPr/>
              <w:t>​</w:t>
            </w:r>
          </w:p>
        </w:tc>
        <w:tc>
          <w:tcPr>
            <w:tcW w:w="1021"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Comprehensive</w:t>
            </w:r>
          </w:p>
        </w:tc>
        <w:tc>
          <w:tcPr>
            <w:tcW w:w="346" w:type="dxa"/>
            <w:tcBorders/>
            <w:vAlign w:val="center"/>
          </w:tcPr>
          <w:p>
            <w:pPr>
              <w:pStyle w:val="TableContents"/>
              <w:bidi w:val="0"/>
              <w:spacing w:lineRule="auto" w:line="285" w:before="0" w:after="0"/>
              <w:ind w:left="0" w:right="0" w:hanging="0"/>
              <w:jc w:val="left"/>
              <w:rPr/>
            </w:pPr>
            <w:r>
              <w:rPr/>
              <w:t>​</w:t>
            </w:r>
          </w:p>
        </w:tc>
        <w:tc>
          <w:tcPr>
            <w:tcW w:w="96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Accumulated</w:t>
            </w:r>
          </w:p>
        </w:tc>
        <w:tc>
          <w:tcPr>
            <w:tcW w:w="346" w:type="dxa"/>
            <w:tcBorders/>
            <w:vAlign w:val="center"/>
          </w:tcPr>
          <w:p>
            <w:pPr>
              <w:pStyle w:val="TableContents"/>
              <w:bidi w:val="0"/>
              <w:spacing w:lineRule="auto" w:line="285" w:before="0" w:after="0"/>
              <w:ind w:left="0" w:right="0" w:hanging="0"/>
              <w:jc w:val="left"/>
              <w:rPr/>
            </w:pPr>
            <w:r>
              <w:rPr/>
              <w:t>​</w:t>
            </w:r>
          </w:p>
        </w:tc>
        <w:tc>
          <w:tcPr>
            <w:tcW w:w="948"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Stockholders’</w:t>
            </w:r>
          </w:p>
        </w:tc>
      </w:tr>
      <w:tr>
        <w:trPr/>
        <w:tc>
          <w:tcPr>
            <w:tcW w:w="281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Shares</w:t>
            </w:r>
          </w:p>
        </w:tc>
        <w:tc>
          <w:tcPr>
            <w:tcW w:w="346" w:type="dxa"/>
            <w:tcBorders/>
            <w:vAlign w:val="center"/>
          </w:tcPr>
          <w:p>
            <w:pPr>
              <w:pStyle w:val="TableContents"/>
              <w:bidi w:val="0"/>
              <w:spacing w:lineRule="auto" w:line="285" w:before="0" w:after="0"/>
              <w:ind w:left="0" w:right="0" w:hanging="0"/>
              <w:jc w:val="left"/>
              <w:rPr/>
            </w:pPr>
            <w:r>
              <w:rPr/>
              <w:t>  ​ ​ ​</w:t>
            </w:r>
          </w:p>
        </w:tc>
        <w:tc>
          <w:tcPr>
            <w:tcW w:w="57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Amount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Capital</w:t>
            </w:r>
          </w:p>
        </w:tc>
        <w:tc>
          <w:tcPr>
            <w:tcW w:w="346" w:type="dxa"/>
            <w:tcBorders/>
            <w:vAlign w:val="center"/>
          </w:tcPr>
          <w:p>
            <w:pPr>
              <w:pStyle w:val="TableContents"/>
              <w:bidi w:val="0"/>
              <w:spacing w:lineRule="auto" w:line="285" w:before="0" w:after="0"/>
              <w:ind w:left="0" w:right="0" w:hanging="0"/>
              <w:jc w:val="left"/>
              <w:rPr/>
            </w:pPr>
            <w:r>
              <w:rPr/>
              <w:t>  ​ ​ ​</w:t>
            </w:r>
          </w:p>
        </w:tc>
        <w:tc>
          <w:tcPr>
            <w:tcW w:w="102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Loss</w:t>
            </w:r>
          </w:p>
        </w:tc>
        <w:tc>
          <w:tcPr>
            <w:tcW w:w="346" w:type="dxa"/>
            <w:tcBorders/>
            <w:vAlign w:val="center"/>
          </w:tcPr>
          <w:p>
            <w:pPr>
              <w:pStyle w:val="TableContents"/>
              <w:bidi w:val="0"/>
              <w:spacing w:lineRule="auto" w:line="285" w:before="0" w:after="0"/>
              <w:ind w:left="0" w:right="0" w:hanging="0"/>
              <w:jc w:val="left"/>
              <w:rPr/>
            </w:pPr>
            <w:r>
              <w:rPr/>
              <w:t>  ​ ​ ​</w:t>
            </w:r>
          </w:p>
        </w:tc>
        <w:tc>
          <w:tcPr>
            <w:tcW w:w="9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Deficit</w:t>
            </w:r>
          </w:p>
        </w:tc>
        <w:tc>
          <w:tcPr>
            <w:tcW w:w="346" w:type="dxa"/>
            <w:tcBorders/>
            <w:vAlign w:val="center"/>
          </w:tcPr>
          <w:p>
            <w:pPr>
              <w:pStyle w:val="TableContents"/>
              <w:bidi w:val="0"/>
              <w:spacing w:lineRule="auto" w:line="285" w:before="0" w:after="0"/>
              <w:ind w:left="0" w:right="0" w:hanging="0"/>
              <w:jc w:val="left"/>
              <w:rPr/>
            </w:pPr>
            <w:r>
              <w:rPr/>
              <w:t>  ​ ​ ​</w:t>
            </w:r>
          </w:p>
        </w:tc>
        <w:tc>
          <w:tcPr>
            <w:tcW w:w="948"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4"/>
              </w:rPr>
            </w:pPr>
            <w:r>
              <w:rPr>
                <w:rFonts w:ascii="Times New Roman;Times;serif" w:hAnsi="Times New Roman;Times;serif"/>
                <w:b/>
                <w:sz w:val="14"/>
              </w:rPr>
              <w:t>Equity</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December 31, 2024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67,899,779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430,859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(397,010)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32,568</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269,682</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279</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1,251</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57</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income</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15,193</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March 31,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68,169,461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432,389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(381,817)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49,325</w:t>
            </w:r>
          </w:p>
        </w:tc>
      </w:tr>
      <w:tr>
        <w:trPr/>
        <w:tc>
          <w:tcPr>
            <w:tcW w:w="2819" w:type="dxa"/>
            <w:tcBorders/>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common stock upon exercise of common stock warrants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6,330,578</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23,053</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23,053</w:t>
            </w:r>
          </w:p>
        </w:tc>
      </w:tr>
      <w:tr>
        <w:trPr/>
        <w:tc>
          <w:tcPr>
            <w:tcW w:w="2819"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Issuance of pre-funded warrants upon exercise of common stock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14,461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14,461</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Common stock issued upon exercise of stock options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14,000</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25</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Stock-based compensation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1,256</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Unrealized loss on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vAlign w:val="center"/>
          </w:tcPr>
          <w:p>
            <w:pPr>
              <w:pStyle w:val="TableContents"/>
              <w:bidi w:val="0"/>
              <w:spacing w:lineRule="auto" w:line="285" w:before="0" w:after="0"/>
              <w:ind w:left="0" w:right="0" w:hanging="0"/>
              <w:jc w:val="left"/>
              <w:rPr/>
            </w:pPr>
            <w:r>
              <w:rPr/>
              <w:t>​</w:t>
            </w:r>
          </w:p>
        </w:tc>
        <w:tc>
          <w:tcPr>
            <w:tcW w:w="365"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vAlign w:val="center"/>
          </w:tcPr>
          <w:p>
            <w:pPr>
              <w:pStyle w:val="TableContents"/>
              <w:bidi w:val="0"/>
              <w:spacing w:lineRule="auto" w:line="285" w:before="0" w:after="0"/>
              <w:ind w:left="0" w:right="0" w:hanging="0"/>
              <w:jc w:val="left"/>
              <w:rPr/>
            </w:pPr>
            <w:r>
              <w:rPr/>
              <w:t>​</w:t>
            </w:r>
          </w:p>
        </w:tc>
        <w:tc>
          <w:tcPr>
            <w:tcW w:w="77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vAlign w:val="center"/>
          </w:tcPr>
          <w:p>
            <w:pPr>
              <w:pStyle w:val="TableContents"/>
              <w:bidi w:val="0"/>
              <w:spacing w:lineRule="auto" w:line="285" w:before="0" w:after="0"/>
              <w:ind w:left="0" w:right="0" w:hanging="0"/>
              <w:jc w:val="left"/>
              <w:rPr/>
            </w:pPr>
            <w:r>
              <w:rPr/>
              <w:t>​</w:t>
            </w:r>
          </w:p>
        </w:tc>
        <w:tc>
          <w:tcPr>
            <w:tcW w:w="743" w:type="dxa"/>
            <w:tcBorders/>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(19)</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shd w:fill="CCEEFF" w:val="clear"/>
            <w:vAlign w:val="center"/>
          </w:tcPr>
          <w:p>
            <w:pPr>
              <w:pStyle w:val="TableContents"/>
              <w:bidi w:val="0"/>
              <w:spacing w:lineRule="auto" w:line="285" w:before="0" w:after="0"/>
              <w:ind w:left="0" w:right="0" w:hanging="0"/>
              <w:jc w:val="left"/>
              <w:rPr/>
            </w:pPr>
            <w:r>
              <w:rPr/>
              <w:t>​</w:t>
            </w:r>
          </w:p>
        </w:tc>
        <w:tc>
          <w:tcPr>
            <w:tcW w:w="365"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shd w:fill="CCEEFF" w:val="clear"/>
            <w:vAlign w:val="center"/>
          </w:tcPr>
          <w:p>
            <w:pPr>
              <w:pStyle w:val="TableContents"/>
              <w:bidi w:val="0"/>
              <w:spacing w:lineRule="auto" w:line="285" w:before="0" w:after="0"/>
              <w:ind w:left="0" w:right="0" w:hanging="0"/>
              <w:jc w:val="left"/>
              <w:rPr/>
            </w:pPr>
            <w:r>
              <w:rPr/>
              <w:t>​</w:t>
            </w:r>
          </w:p>
        </w:tc>
        <w:tc>
          <w:tcPr>
            <w:tcW w:w="77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shd w:fill="CCEEFF" w:val="clear"/>
            <w:vAlign w:val="center"/>
          </w:tcPr>
          <w:p>
            <w:pPr>
              <w:pStyle w:val="TableContents"/>
              <w:bidi w:val="0"/>
              <w:spacing w:lineRule="auto" w:line="285" w:before="0" w:after="0"/>
              <w:ind w:left="0" w:right="0" w:hanging="0"/>
              <w:jc w:val="left"/>
              <w:rPr/>
            </w:pPr>
            <w:r>
              <w:rPr/>
              <w:t>​</w:t>
            </w:r>
          </w:p>
        </w:tc>
        <w:tc>
          <w:tcPr>
            <w:tcW w:w="743"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125</w:t>
            </w:r>
          </w:p>
        </w:tc>
      </w:tr>
      <w:tr>
        <w:trPr/>
        <w:tc>
          <w:tcPr>
            <w:tcW w:w="2819" w:type="dxa"/>
            <w:tcBorders/>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36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6"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(7,998)</w:t>
            </w:r>
          </w:p>
        </w:tc>
        <w:tc>
          <w:tcPr>
            <w:tcW w:w="346" w:type="dxa"/>
            <w:tcBorders/>
            <w:vAlign w:val="center"/>
          </w:tcPr>
          <w:p>
            <w:pPr>
              <w:pStyle w:val="TableContents"/>
              <w:bidi w:val="0"/>
              <w:spacing w:lineRule="auto" w:line="285" w:before="0" w:after="0"/>
              <w:ind w:left="0" w:right="0" w:hanging="0"/>
              <w:jc w:val="left"/>
              <w:rPr/>
            </w:pPr>
            <w:r>
              <w:rPr/>
              <w:t>​</w:t>
            </w:r>
          </w:p>
        </w:tc>
        <w:tc>
          <w:tcPr>
            <w:tcW w:w="20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43"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(7,998)</w:t>
            </w:r>
          </w:p>
        </w:tc>
      </w:tr>
      <w:tr>
        <w:trPr/>
        <w:tc>
          <w:tcPr>
            <w:tcW w:w="28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at June 30, 2025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74,514,039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36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471,184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6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(1,148)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16"/>
              </w:rPr>
            </w:pPr>
            <w:r>
              <w:rPr>
                <w:rFonts w:ascii="Times New Roman;Times;serif" w:hAnsi="Times New Roman;Times;serif"/>
                <w:sz w:val="16"/>
              </w:rPr>
              <w:t>(389,815)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743"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16"/>
              </w:rPr>
            </w:pPr>
            <w:r>
              <w:rPr>
                <w:rFonts w:ascii="Times New Roman;Times;serif" w:hAnsi="Times New Roman;Times;serif"/>
                <w:sz w:val="16"/>
              </w:rPr>
              <w:t>80,228</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center"/>
        <w:rPr>
          <w:rFonts w:ascii="Times New Roman;Times;serif" w:hAnsi="Times New Roman;Times;serif"/>
          <w:b/>
          <w:sz w:val="20"/>
        </w:rPr>
      </w:pPr>
      <w:bookmarkStart w:id="581" w:name="_da68284a_f473_4cd9_8913_58da8fe399b1"/>
      <w:bookmarkEnd w:id="581"/>
      <w:r>
        <w:rPr>
          <w:rFonts w:ascii="Times New Roman;Times;serif" w:hAnsi="Times New Roman;Times;serif"/>
          <w:b/>
          <w:sz w:val="20"/>
        </w:rPr>
        <w:t>CORVUS PHARMACEUTICALS, INC.</w:t>
      </w:r>
    </w:p>
    <w:p>
      <w:pPr>
        <w:pStyle w:val="TextBody"/>
        <w:bidi w:val="0"/>
        <w:spacing w:lineRule="auto" w:line="285" w:before="0" w:after="0"/>
        <w:ind w:left="0" w:right="0" w:hanging="0"/>
        <w:jc w:val="center"/>
        <w:rPr>
          <w:rFonts w:ascii="Times New Roman;Times;serif" w:hAnsi="Times New Roman;Times;serif"/>
          <w:b/>
          <w:sz w:val="20"/>
        </w:rPr>
      </w:pPr>
      <w:bookmarkStart w:id="582" w:name="STATEMENTSOFCASHFLOWS_192557"/>
      <w:bookmarkEnd w:id="582"/>
      <w:r>
        <w:rPr>
          <w:rFonts w:ascii="Times New Roman;Times;serif" w:hAnsi="Times New Roman;Times;serif"/>
          <w:b/>
          <w:sz w:val="20"/>
        </w:rPr>
        <w:t>CONDENSED CONSOLIDATED STATEMENTS OF CASH FLOWS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(in thousands)</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(unaudited)</w:t>
      </w:r>
    </w:p>
    <w:p>
      <w:pPr>
        <w:pStyle w:val="TextBody"/>
        <w:bidi w:val="0"/>
        <w:spacing w:lineRule="auto" w:line="285" w:before="0" w:after="0"/>
        <w:ind w:left="0" w:right="0" w:hanging="0"/>
        <w:jc w:val="center"/>
        <w:rPr/>
      </w:pPr>
      <w:r>
        <w:rPr/>
        <w:t>​</w:t>
      </w:r>
    </w:p>
    <w:p>
      <w:pPr>
        <w:pStyle w:val="Normal"/>
        <w:bidi w:val="0"/>
        <w:spacing w:before="0" w:after="0"/>
        <w:jc w:val="left"/>
        <w:rPr>
          <w:sz w:val="4"/>
          <w:szCs w:val="4"/>
        </w:rPr>
      </w:pPr>
      <w:r>
        <w:rPr>
          <w:sz w:val="4"/>
          <w:szCs w:val="4"/>
        </w:rPr>
      </w:r>
      <w:bookmarkStart w:id="583" w:name="Tc_b5fU4vHgO02chzA2sp_eew_36_6"/>
      <w:bookmarkStart w:id="584" w:name="Tc_2Cx1lL9tdk6SRgiY4dDdyQ_36_5"/>
      <w:bookmarkStart w:id="585" w:name="Tc_PbxUmUoYx0yBBlkTG6s3sg_36_2"/>
      <w:bookmarkStart w:id="586" w:name="Tc_jDFNATYqNEe6zwRFd6-ldQ_36_0"/>
      <w:bookmarkStart w:id="587" w:name="Tc_h-_BFzPsGECYWI2iXZUlUw_35_0"/>
      <w:bookmarkStart w:id="588" w:name="Tc_YZgDOaSPtkaDYVqrSRT0uw_34_5"/>
      <w:bookmarkStart w:id="589" w:name="Tc_tqAsTad83EKc4H9uHGxBrg_34_2"/>
      <w:bookmarkStart w:id="590" w:name="Tc_IerP26SANkKb1uqQ-mbi-Q_34_0"/>
      <w:bookmarkStart w:id="591" w:name="Tc_XwUCezqKb0OFTg0vKf1TIA_33_0"/>
      <w:bookmarkStart w:id="592" w:name="Tc_-nCgjy3lJEqxCbNKT9_TLg_32_0"/>
      <w:bookmarkStart w:id="593" w:name="Tc_bCuvQ2l2CE-DAZ19gUf-MQ_31_0"/>
      <w:bookmarkStart w:id="594" w:name="Tc_is5W-2uzbkyG4ss-6eI40A_30_0"/>
      <w:bookmarkStart w:id="595" w:name="Tc_c5FhvBRea0am1REaqtNbJg_29_3"/>
      <w:bookmarkStart w:id="596" w:name="Tc_GVUF6_P0CkaHfBs8_LJWKg_29_0"/>
      <w:bookmarkStart w:id="597" w:name="Tc_A-KK_eJEq0KA6i_iNZRUkg_28_6"/>
      <w:bookmarkStart w:id="598" w:name="Tc_XiGh2WnCdEKad1Wu5cFdBQ_28_0"/>
      <w:bookmarkStart w:id="599" w:name="Tc_MDO3ixf8uEe7TWfZBk1ALQ_27_0"/>
      <w:bookmarkStart w:id="600" w:name="Tc_Mi3CnzadqkCcrGCRkDLwGA_26_0"/>
      <w:bookmarkStart w:id="601" w:name="Tc_S0KvVVy0REucJQtJswSy9w_25_6"/>
      <w:bookmarkStart w:id="602" w:name="Tc_q6fS1SpfFUq6v-Uj-YxA8w_25_0"/>
      <w:bookmarkStart w:id="603" w:name="Tc_Qey75czZS0i9eEDrVC8EYQ_24_0"/>
      <w:bookmarkStart w:id="604" w:name="Tc_BKlT-CNkUkOJvAMcLri5EA_23_0"/>
      <w:bookmarkStart w:id="605" w:name="Tc_tG3N4vyR4EGsHes5hHG-xA_22_0"/>
      <w:bookmarkStart w:id="606" w:name="Tc_rS2lD5iBH0yScnKmZ0z1vA_21_0"/>
      <w:bookmarkStart w:id="607" w:name="Tc_CIeOmJJcEkefYvX_24qAEA_20_0"/>
      <w:bookmarkStart w:id="608" w:name="Tc_ino89160GkmkpfUik00b2g_19_0"/>
      <w:bookmarkStart w:id="609" w:name="Tc_IlWoAVcbQUmOKm7THfpQ1A_18_0"/>
      <w:bookmarkStart w:id="610" w:name="Tc_RXyPZ5sfI0-WrBgMCpyZGw_17_0"/>
      <w:bookmarkStart w:id="611" w:name="Tc_ujLWDJdtjEeOrQfS1BDd2Q_16_0"/>
      <w:bookmarkStart w:id="612" w:name="Tc_DJnsizjftkKL9HW7llFwTw_15_0"/>
      <w:bookmarkStart w:id="613" w:name="Tc_oGkYVY-g4E29m16BhezFhA_14_0"/>
      <w:bookmarkStart w:id="614" w:name="Tc_94NxuyjWr06iX1T39dRU5g_13_0"/>
      <w:bookmarkStart w:id="615" w:name="Tc_iNl7atbSD0KL8SEFLKxwIg_12_0"/>
      <w:bookmarkStart w:id="616" w:name="Tc_cKYG4oQnxUWReJ6vKbMiIg_11_0"/>
      <w:bookmarkStart w:id="617" w:name="Tc_KkPEepEbhUKnJY0YItB7Mg_10_3"/>
      <w:bookmarkStart w:id="618" w:name="Tc_RbAaZY1ECUWQj-jMyNM4Xw_10_0"/>
      <w:bookmarkStart w:id="619" w:name="Tc_In3JWJ9gX0OsA4C-kLIfZQ_9_0"/>
      <w:bookmarkStart w:id="620" w:name="Tc_T7Ocw3iurke4qMvixQU13w_8_0"/>
      <w:bookmarkStart w:id="621" w:name="Tc_4D0JbH3xNUqgdJzwb3RGHw_7_0"/>
      <w:bookmarkStart w:id="622" w:name="Tc_oBEaZHy72kexzForbO7rXg_6_0"/>
      <w:bookmarkStart w:id="623" w:name="Tc_t2Nk66InwE2DJmb6efQG6A_5_5"/>
      <w:bookmarkStart w:id="624" w:name="Tc_uiLUUhlhQUuOIBF8GvWPfA_5_2"/>
      <w:bookmarkStart w:id="625" w:name="Tc_y2OYXIPLkEi5rhqMSUMqaA_5_0"/>
      <w:bookmarkStart w:id="626" w:name="Tc_6svvLE_Rn0qQyv5CXezJZw_4_0"/>
      <w:bookmarkStart w:id="627" w:name="Tc_ZzEhW-x_wkqRlvlQmTEJeA_3_5"/>
      <w:bookmarkStart w:id="628" w:name="Tc_ldxFLZJ9dkWUH5rtmauWUA_3_2"/>
      <w:bookmarkStart w:id="629" w:name="Tc_xzef074_M0mpr_YgMvxzUw_2_2"/>
      <w:bookmarkStart w:id="630" w:name="Tc_2zhsimllok6hmIAgAp0Bew_1_2"/>
      <w:bookmarkStart w:id="631" w:name="_4e03dd47_c1b4_4373_940b_d9bcff330daf"/>
      <w:bookmarkStart w:id="632" w:name="Tc_b5fU4vHgO02chzA2sp_eew_36_6"/>
      <w:bookmarkStart w:id="633" w:name="Tc_2Cx1lL9tdk6SRgiY4dDdyQ_36_5"/>
      <w:bookmarkStart w:id="634" w:name="Tc_PbxUmUoYx0yBBlkTG6s3sg_36_2"/>
      <w:bookmarkStart w:id="635" w:name="Tc_jDFNATYqNEe6zwRFd6-ldQ_36_0"/>
      <w:bookmarkStart w:id="636" w:name="Tc_h-_BFzPsGECYWI2iXZUlUw_35_0"/>
      <w:bookmarkStart w:id="637" w:name="Tc_YZgDOaSPtkaDYVqrSRT0uw_34_5"/>
      <w:bookmarkStart w:id="638" w:name="Tc_tqAsTad83EKc4H9uHGxBrg_34_2"/>
      <w:bookmarkStart w:id="639" w:name="Tc_IerP26SANkKb1uqQ-mbi-Q_34_0"/>
      <w:bookmarkStart w:id="640" w:name="Tc_XwUCezqKb0OFTg0vKf1TIA_33_0"/>
      <w:bookmarkStart w:id="641" w:name="Tc_-nCgjy3lJEqxCbNKT9_TLg_32_0"/>
      <w:bookmarkStart w:id="642" w:name="Tc_bCuvQ2l2CE-DAZ19gUf-MQ_31_0"/>
      <w:bookmarkStart w:id="643" w:name="Tc_is5W-2uzbkyG4ss-6eI40A_30_0"/>
      <w:bookmarkStart w:id="644" w:name="Tc_c5FhvBRea0am1REaqtNbJg_29_3"/>
      <w:bookmarkStart w:id="645" w:name="Tc_GVUF6_P0CkaHfBs8_LJWKg_29_0"/>
      <w:bookmarkStart w:id="646" w:name="Tc_A-KK_eJEq0KA6i_iNZRUkg_28_6"/>
      <w:bookmarkStart w:id="647" w:name="Tc_XiGh2WnCdEKad1Wu5cFdBQ_28_0"/>
      <w:bookmarkStart w:id="648" w:name="Tc_MDO3ixf8uEe7TWfZBk1ALQ_27_0"/>
      <w:bookmarkStart w:id="649" w:name="Tc_Mi3CnzadqkCcrGCRkDLwGA_26_0"/>
      <w:bookmarkStart w:id="650" w:name="Tc_S0KvVVy0REucJQtJswSy9w_25_6"/>
      <w:bookmarkStart w:id="651" w:name="Tc_q6fS1SpfFUq6v-Uj-YxA8w_25_0"/>
      <w:bookmarkStart w:id="652" w:name="Tc_Qey75czZS0i9eEDrVC8EYQ_24_0"/>
      <w:bookmarkStart w:id="653" w:name="Tc_BKlT-CNkUkOJvAMcLri5EA_23_0"/>
      <w:bookmarkStart w:id="654" w:name="Tc_tG3N4vyR4EGsHes5hHG-xA_22_0"/>
      <w:bookmarkStart w:id="655" w:name="Tc_rS2lD5iBH0yScnKmZ0z1vA_21_0"/>
      <w:bookmarkStart w:id="656" w:name="Tc_CIeOmJJcEkefYvX_24qAEA_20_0"/>
      <w:bookmarkStart w:id="657" w:name="Tc_ino89160GkmkpfUik00b2g_19_0"/>
      <w:bookmarkStart w:id="658" w:name="Tc_IlWoAVcbQUmOKm7THfpQ1A_18_0"/>
      <w:bookmarkStart w:id="659" w:name="Tc_RXyPZ5sfI0-WrBgMCpyZGw_17_0"/>
      <w:bookmarkStart w:id="660" w:name="Tc_ujLWDJdtjEeOrQfS1BDd2Q_16_0"/>
      <w:bookmarkStart w:id="661" w:name="Tc_DJnsizjftkKL9HW7llFwTw_15_0"/>
      <w:bookmarkStart w:id="662" w:name="Tc_oGkYVY-g4E29m16BhezFhA_14_0"/>
      <w:bookmarkStart w:id="663" w:name="Tc_94NxuyjWr06iX1T39dRU5g_13_0"/>
      <w:bookmarkStart w:id="664" w:name="Tc_iNl7atbSD0KL8SEFLKxwIg_12_0"/>
      <w:bookmarkStart w:id="665" w:name="Tc_cKYG4oQnxUWReJ6vKbMiIg_11_0"/>
      <w:bookmarkStart w:id="666" w:name="Tc_KkPEepEbhUKnJY0YItB7Mg_10_3"/>
      <w:bookmarkStart w:id="667" w:name="Tc_RbAaZY1ECUWQj-jMyNM4Xw_10_0"/>
      <w:bookmarkStart w:id="668" w:name="Tc_In3JWJ9gX0OsA4C-kLIfZQ_9_0"/>
      <w:bookmarkStart w:id="669" w:name="Tc_T7Ocw3iurke4qMvixQU13w_8_0"/>
      <w:bookmarkStart w:id="670" w:name="Tc_4D0JbH3xNUqgdJzwb3RGHw_7_0"/>
      <w:bookmarkStart w:id="671" w:name="Tc_oBEaZHy72kexzForbO7rXg_6_0"/>
      <w:bookmarkStart w:id="672" w:name="Tc_t2Nk66InwE2DJmb6efQG6A_5_5"/>
      <w:bookmarkStart w:id="673" w:name="Tc_uiLUUhlhQUuOIBF8GvWPfA_5_2"/>
      <w:bookmarkStart w:id="674" w:name="Tc_y2OYXIPLkEi5rhqMSUMqaA_5_0"/>
      <w:bookmarkStart w:id="675" w:name="Tc_6svvLE_Rn0qQyv5CXezJZw_4_0"/>
      <w:bookmarkStart w:id="676" w:name="Tc_ZzEhW-x_wkqRlvlQmTEJeA_3_5"/>
      <w:bookmarkStart w:id="677" w:name="Tc_ldxFLZJ9dkWUH5rtmauWUA_3_2"/>
      <w:bookmarkStart w:id="678" w:name="Tc_xzef074_M0mpr_YgMvxzUw_2_2"/>
      <w:bookmarkStart w:id="679" w:name="Tc_2zhsimllok6hmIAgAp0Bew_1_2"/>
      <w:bookmarkStart w:id="680" w:name="_4e03dd47_c1b4_4373_940b_d9bcff330daf"/>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p>
    <w:tbl>
      <w:tblPr>
        <w:tblW w:w="10205" w:type="dxa"/>
        <w:jc w:val="left"/>
        <w:tblInd w:w="0" w:type="dxa"/>
        <w:tblLayout w:type="fixed"/>
        <w:tblCellMar>
          <w:top w:w="0" w:type="dxa"/>
          <w:left w:w="0" w:type="dxa"/>
          <w:bottom w:w="0" w:type="dxa"/>
          <w:right w:w="0" w:type="dxa"/>
        </w:tblCellMar>
      </w:tblPr>
      <w:tblGrid>
        <w:gridCol w:w="7042"/>
        <w:gridCol w:w="346"/>
        <w:gridCol w:w="211"/>
        <w:gridCol w:w="881"/>
        <w:gridCol w:w="346"/>
        <w:gridCol w:w="211"/>
        <w:gridCol w:w="776"/>
        <w:gridCol w:w="392"/>
      </w:tblGrid>
      <w:tr>
        <w:trPr/>
        <w:tc>
          <w:tcPr>
            <w:tcW w:w="70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4471670" cy="175260"/>
                      <wp:effectExtent l="0" t="0" r="0" b="0"/>
                      <wp:wrapNone/>
                      <wp:docPr id="65" name="Frame65"/>
                      <a:graphic xmlns:a="http://schemas.openxmlformats.org/drawingml/2006/main">
                        <a:graphicData uri="http://schemas.microsoft.com/office/word/2010/wordprocessingShape">
                          <wps:wsp>
                            <wps:cNvSpPr txBox="1"/>
                            <wps:spPr>
                              <a:xfrm>
                                <a:off x="0" y="0"/>
                                <a:ext cx="4471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19710" cy="175260"/>
                      <wp:effectExtent l="0" t="0" r="0" b="0"/>
                      <wp:wrapNone/>
                      <wp:docPr id="66" name="Frame6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67" name="Frame6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559435" cy="175260"/>
                      <wp:effectExtent l="0" t="0" r="0" b="0"/>
                      <wp:wrapNone/>
                      <wp:docPr id="68" name="Frame68"/>
                      <a:graphic xmlns:a="http://schemas.openxmlformats.org/drawingml/2006/main">
                        <a:graphicData uri="http://schemas.microsoft.com/office/word/2010/wordprocessingShape">
                          <wps:wsp>
                            <wps:cNvSpPr txBox="1"/>
                            <wps:spPr>
                              <a:xfrm>
                                <a:off x="0" y="0"/>
                                <a:ext cx="5594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19710" cy="175260"/>
                      <wp:effectExtent l="0" t="0" r="0" b="0"/>
                      <wp:wrapNone/>
                      <wp:docPr id="69" name="Frame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3985" cy="175260"/>
                      <wp:effectExtent l="0" t="0" r="0" b="0"/>
                      <wp:wrapNone/>
                      <wp:docPr id="70" name="Frame7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92760" cy="175260"/>
                      <wp:effectExtent l="0" t="0" r="0" b="0"/>
                      <wp:wrapNone/>
                      <wp:docPr id="71" name="Frame71"/>
                      <a:graphic xmlns:a="http://schemas.openxmlformats.org/drawingml/2006/main">
                        <a:graphicData uri="http://schemas.microsoft.com/office/word/2010/wordprocessingShape">
                          <wps:wsp>
                            <wps:cNvSpPr txBox="1"/>
                            <wps:spPr>
                              <a:xfrm>
                                <a:off x="0" y="0"/>
                                <a:ext cx="492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48920" cy="175260"/>
                      <wp:effectExtent l="0" t="0" r="0" b="0"/>
                      <wp:wrapNone/>
                      <wp:docPr id="72" name="Frame72"/>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70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2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2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lineRule="auto" w:line="285" w:before="0" w:after="0"/>
              <w:ind w:left="0" w:right="0" w:hanging="0"/>
              <w:jc w:val="left"/>
              <w:rPr/>
            </w:pPr>
            <w:r>
              <w:rPr/>
              <w:t>  ​ ​ ​</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pPr>
            <w:r>
              <w:rPr/>
              <w:t>  ​</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Adjustments to reconcile net (loss) income to 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pPr>
            <w:r>
              <w:rPr/>
              <w:t>  ​</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51</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Accretion related to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pPr>
            <w:r>
              <w:rPr/>
              <w:t>  ​</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receivable - related party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(4,304)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1,081</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165</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(858)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555</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and other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1,288</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(14,040)</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pPr>
            <w:r>
              <w:rPr/>
              <w:t>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(209,477)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(47,183)</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Maturities of marketable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31,274</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(149)</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Investment in Angel Pharmaceuticals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(5,000)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(150,811)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(16,058)</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pPr>
            <w:r>
              <w:rPr/>
              <w:t>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issuance of common stock in connection with follow-on public offering,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189,407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the exercise of common stock warrants (includes $4,960 in aggregate gross proceeds from related parties)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8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35,745</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Proceeds from exercise of common stock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304</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190,912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36,049</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beginning of the period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4,576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8,740</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 at end of the period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18,905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14,691</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7042" w:type="dxa"/>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Supplemental disclosures of cash flow information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881" w:type="dxa"/>
            <w:tcBorders/>
            <w:vAlign w:val="center"/>
          </w:tcPr>
          <w:p>
            <w:pPr>
              <w:pStyle w:val="TableContents"/>
              <w:bidi w:val="0"/>
              <w:spacing w:lineRule="auto" w:line="285" w:before="0" w:after="0"/>
              <w:ind w:left="0" w:right="0" w:hanging="0"/>
              <w:jc w:val="right"/>
              <w:rPr/>
            </w:pPr>
            <w:r>
              <w:rPr/>
              <w:t>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76" w:type="dxa"/>
            <w:tcBorders/>
            <w:vAlign w:val="center"/>
          </w:tcPr>
          <w:p>
            <w:pPr>
              <w:pStyle w:val="TableContents"/>
              <w:bidi w:val="0"/>
              <w:spacing w:lineRule="auto" w:line="285" w:before="0" w:after="0"/>
              <w:ind w:left="0" w:right="0" w:hanging="0"/>
              <w:jc w:val="right"/>
              <w:rPr/>
            </w:pPr>
            <w:r>
              <w:rPr/>
              <w:t>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70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Purchases of property and equipment incurred but not paid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76" w:type="dxa"/>
            <w:tcBorders/>
            <w:shd w:fill="CCEEFF" w:val="clear"/>
            <w:vAlign w:val="center"/>
          </w:tcPr>
          <w:p>
            <w:pPr>
              <w:pStyle w:val="TableContents"/>
              <w:bidi w:val="0"/>
              <w:spacing w:lineRule="auto" w:line="285" w:before="0" w:after="0"/>
              <w:ind w:left="0" w:right="0" w:hanging="0"/>
              <w:jc w:val="right"/>
              <w:rPr/>
            </w:pPr>
            <w:r>
              <w:rPr/>
              <w:t>—</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condensed consolidated financial statements.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CORVUS PHARMACEUTICALS, INC.</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20"/>
        </w:rPr>
      </w:pPr>
      <w:bookmarkStart w:id="681" w:name="NOTESTOCONDENSEDCONSOLIDATEDFINANCIALSTA"/>
      <w:bookmarkEnd w:id="681"/>
      <w:r>
        <w:rPr>
          <w:rFonts w:ascii="Times New Roman;Times;serif" w:hAnsi="Times New Roman;Times;serif"/>
          <w:b/>
          <w:sz w:val="20"/>
        </w:rPr>
        <w:t>NOTES TO CONDENSED CONSOLIDATED FINANCIAL STATEMENTS (unaudited)</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 Organization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Corvus Pharmaceuticals, Inc. (“Corvus” or the “Company”) was incorporated in Delaware on January 27, 2014 and commenced operations in November 2014. Corvus is a clinical-stage biopharmaceutical company. The Company’s operations are located in South San Francisco, California.</w:t>
      </w:r>
    </w:p>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Presentation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financial statements include the accounts of the Company and its wholly-owned subsidiaries, Corvus Biopharmaceuticals, Ltd. and Corvus Hong Kong Limited. All intercompany accounts and transactions have been eliminated from the condensed consolidated financial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Registered Direct Offering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May 6, 2024, the Company completed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had an exercise price of $3.50 per share of common stock (or $3.4999 per pre-funded warrant in lieu thereof), were exercisable at any time after the date of issuance, subject to certain ownership limitations, and expired on June 30, 2025. The pre-funded warrants have an exercise price of $0.0001 and are exercisable any time after the date of the issuance, subject to certain ownership limitations.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Follow-on Public Offering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On January 23, 2026, the Company completed a follow-on public offering in which the Company sold 9,085,778 shares of common stock at a price of $22.15 per share, which included 1,185,101 shares issued pursuant to the underwriters’ exercise of their option to purchase additional shares of common stock. The aggregate net proceeds received by the Company from the offering were approximately $189.4 million, net of underwriting discounts, commissions and offering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Liquidity</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subject to risks and uncertainties common to early-stage companies in the biotechnology industry, including, but not limited to, development by competitors of new technological innovations, protection of proprietary technology, dependence on key personnel, contract manufacturer and contract research organizations, compliance with government regulations and the need to obtain additional financing to fund operations. Since commencing operations in 2014, the majority of the Company’s efforts have been focused on the research and development of soquelitinib, ciforadenant and mupadolimab. The Company believes that it will continue to expend substantial resources for the foreseeable future as it continues clinical development of, seek regulatory approval for and, if approved, prepare for the commercialization of soquelitinib, as well as product candidates under the Company’s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the Company may not be able to accurately estimate the actual amounts necessary to successfully complete the development, regulatory approval process and commercialization of soquelitinib, or any other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has incurred significant losses and negative cash flows from operations in all periods since inception and had an accumulated deficit of $443.9 million as of June 30, 2026. To date, none of the Company’s product candidates have been approved for sale and therefore the Company has not generated any revenue from sales of commercial products. Management expects operating losses to continue for the foreseeable future. The Company has funded its operations to date primarily through the sale of redeemable convertible preferred stock, common stock, pre-funded warrants and common stock warrants. As of June 30, 2026, the Company had cash, cash equivalents and marketable securities of $215.2 million. Management believes that the Company’s current cash, cash equivalents and short-term marketable securities will be sufficient to fund its planned operations for at least the next 12 months from the date of the issuance of these condensed consolidated financial statements. To fund all of the Company's ongoing and planned development programs through commercialization, the Company will need to raise additional capital in the future. The Company intends to raise additional capital through private and public equity offerings, debt financings and license and development agreements. However, there can be no assurance that the Company will be successful in acquiring additional funding at levels sufficient to fund its operations or on terms acceptable to the Company or at all. If the Company is unsuccessful in its efforts to raise additional capital or if sufficient funds on acceptable terms are not available when needed, the Company could be required to significantly reduce operating expenses and delay, reduce the scope of or eliminate one or more of its development programs, out-license intellectual property rights to its product candidates, sell unsecured assets, or a combination of the above, any of which may have a material adverse effect on the Company’s business, results of operations, financial condition and/or its ability to fund its obligations on a timely basis or at all. Failure to manage discretionary spending or raise additional capital, as needed, may adversely impact the Company’s ability to achieve its intended business objectives.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Basis of Presentation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condensed consolidated financial statements have been prepared in conformity with accounting principles generally accepted in the United States of America (“U.S. GAAP”). The Company’s functional and reporting currency is the U.S. dollar, except for its investment in its equity method investee which is the Chinese renminbi (RMB). The accompanying condensed consolidated financial statements have been prepared on a going-concern basis, which contemplates the realization of assets and discharge of liabilities in the normal course of business.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Unaudited Interim Financial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accompanying interim condensed consolidated financial statements and related disclosures are unaudited, have been prepared on the same basis as the annual financial statements and, in the opinion of management, reflect all adjustments, which include only normal recurring adjustments, necessary for fair statement of the condensed consolidated financial statements presented.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condensed consolidated balance sheet as of December 31, 2025 was derived from audited financial statements, but does not include all disclosures required by GAAP. The condensed consolidated results of operations for the three and six months ended June 30, 2026 are not necessarily indicative of the results to be expected for the full year or for any other future year or interim period. The accompanying condensed consolidated financial statements should be read in conjunction with the audited financial statements and the related notes for the year ended December 31, 2025 included in the Company’s Annual Report on Form 10-K filed with the SEC on March 12, 2026.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Estimates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the Company’s condensed consolidated financial statements in conformity with U.S. GAAP requires management to make estimates and assumptions that affect the amounts reported in the condensed consolidated financial statements and accompanying notes. Actual results could differ from such estimates.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Investments in Equity Securities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 uses the equity method of accounting for its equity investment if the investment provides the ability to exercise significant influence, but not control, over operating and financial policies of the investee.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 Company’s proportionate share of the net income (loss) resulting from the equity method investment is reported under the line item captioned “income (loss) from equity method investment” in the condensed consolidated statements of operations and comprehensive loss and the carrying value of the equity method investments is reported under the line captioned “Investment in Angel Pharmaceuticals” in the condensed consolidated balance sheets. The Company’s equity method investments are reported at cost and adjusted each period for the Company’s share of the investee’s income or loss and the foreign currency translation adjustment as applicable.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For equity method investees with a functional currency different than the Company’s reporting currency, the Company follows the guidance under Accounting Standards Codification (“ASC”) 830-10-15-5, pursuant to which, the foreign currency financial statements of a foreign investee accounted for by the equity method should be translated to the reporting entity’s reporting currency.</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evaluates equity method investments for impairment whenever events or changes in circumstances indicate that the carrying amount of the investment might not be recoverable. Factors considered by the Company when reviewing an equity method investment for impairment include the length of time (duration) and the extent (severity) to which the fair value of the equity method investment has been less than cost, the investee’s financial condition and near-term prospects and the intent and ability to hold the investment for a period of time sufficient to allow for anticipated recovery. An impairment that is other-than-temporary is recognized in the period identified.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See Note 6, “Equity Method Investment,” for further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Concentrations of Credit Risk and Other Risks and Uncertainties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Substantially all of the Company’s cash and cash equivalents are deposited in accounts with two financial institutions that management believes are of high credit quality. Such deposits may, at times, exceed federally insured limits. The Company maintains its cash with an accredited financial institution and accordingly, such funds are subject to minimal credit risk. The Company’s marketable securities consist of investments in U.S. Treasury securities and U.S. government agency securities, which can be subject to certain credit risks. However, the Company mitigates the risks by investing in high-grade instruments, limiting its exposure to any one issuer, and monitoring the ongoing creditworthiness of the financial institutions and issuers. The Company has not experienced any losses on its deposits of cash, cash equivalents or marketable securities.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is subject to a number of risks similar to other early stage biopharmaceutical companies, including, but not limited to, the need to obtain adequate additional funding, possible failure of preclinical testing or clinical trials, its reliance on third parties to conduct its clinical trials, the need to obtain marketing approval for its product candidates, competitors developing new technological innovations, the need to successfully commercialize and gain market acceptance of the Company’s product candidates, its right to develop and commercialize its product candidates pursuant to the terms and conditions of the licenses granted to the Company, and protection of proprietary technology. If the Company does not successfully commercialize or partner any of its product candidates, it will be unable to generate product revenue or achieve profitability.</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to the Company’s significant accounting policies during the six months ended June 30, 2026 from those discussed in the Company’s Annual Report on Form 10-K filed with the SEC on March 12, 2026.</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Accounting Pronouncements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2023, the Financial Accounting Standards Board (the “FASB”) issued ASU 2023-06, Disclosure Improvements: Codification Amendments in Response to the SEC’s Disclosure Update and Simplification Initiative, which modifies the disclosure or presentation requirements related to variety of FASB Accounting Standard Codification topics. The effective date for each amendment will be the date on which the SEC’s removal of that related disclosure from Regulation S-X or Regulation S-K is effective. If by June 30, 2027, the SEC has not removed the applicable requirement from Regulation S-X or Regulation S-K, the pending content of the associated amendment will be removed from the Codification and will not become effective for any entities. The Company is currently evaluating the effect of adopting this ASU.</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November 2024, the FASB issued ASU 2024-03, Disaggregation of Income Statement Expense. This update requires entities to disaggregate operating expenses into specific categories, such as salaries and wages, depreciation, and amortization, to provide enhanced transparency into the nature and function of expenses. ASU 2024-03 is effective for fiscal years beginning after December 15, 2026, with early adoption permitted. ASU 2024-03 may be applied retrospectively or prospectively. The Company is currently evaluating the impact of ASU 2024-03 on its financial statement presentation and disclosures.</w:t>
      </w:r>
    </w:p>
    <w:p>
      <w:pPr>
        <w:pStyle w:val="TextBody"/>
        <w:bidi w:val="0"/>
        <w:spacing w:lineRule="auto" w:line="285" w:before="0" w:after="0"/>
        <w:ind w:left="0" w:right="0" w:hanging="0"/>
        <w:jc w:val="left"/>
        <w:rPr>
          <w:rFonts w:ascii="Times New Roman;Times;serif" w:hAnsi="Times New Roman;Times;serif"/>
          <w:b/>
          <w:sz w:val="20"/>
        </w:rPr>
      </w:pPr>
      <w:bookmarkStart w:id="682" w:name="Tc_0S04MYNLjkWV54y5gVGvBw_14_11"/>
      <w:bookmarkStart w:id="683" w:name="Tc_n0JBnBRjm0GL_h8o5Jx7FQ_14_8"/>
      <w:bookmarkStart w:id="684" w:name="Tc_P4rNma5zFk-CiAPGH4VmpQ_14_5"/>
      <w:bookmarkStart w:id="685" w:name="Tc_CWakNXJ1SUOBaNCgOojKnA_14_2"/>
      <w:bookmarkStart w:id="686" w:name="Tc_968QYHkuoUOhyjYe0Rgomw_14_0"/>
      <w:bookmarkStart w:id="687" w:name="Tc_oMjuiWtcvEispb8AOdfb1Q_13_11"/>
      <w:bookmarkStart w:id="688" w:name="Tc_p1-ml6fXp0eP5W3578tdMw_13_8"/>
      <w:bookmarkStart w:id="689" w:name="Tc_eXVypMtwF0So4WF8jzrVWw_13_5"/>
      <w:bookmarkStart w:id="690" w:name="Tc_HXAV3O47FUq0kkniN013xw_13_2"/>
      <w:bookmarkStart w:id="691" w:name="Tc_3qZgvg9Z0kqc7-rkQrcd5Q_13_0"/>
      <w:bookmarkStart w:id="692" w:name="Tc_sEBg8m5qOUy15IYP7uCpBw_11_0"/>
      <w:bookmarkStart w:id="693" w:name="Tc_EYv8W7f--kKnuX8z0MyVDQ_10_9"/>
      <w:bookmarkStart w:id="694" w:name="Tc_XptwiVlg502cGYKgki8ePA_10_6"/>
      <w:bookmarkStart w:id="695" w:name="Tc_Imc6_T5zgUWergWeELBjcQ_10_3"/>
      <w:bookmarkStart w:id="696" w:name="Tc_3x8unzMLtkiCCWgK7P2gKw_10_0"/>
      <w:bookmarkStart w:id="697" w:name="Tc_CshUMh9DKU-jScp8iKIgTA_9_0"/>
      <w:bookmarkStart w:id="698" w:name="Tc_Nn9iZRsk6UeTOaomskRTZA_8_0"/>
      <w:bookmarkStart w:id="699" w:name="Tc_g2tuAEAFmEmTi4_vms_csQ_7_11"/>
      <w:bookmarkStart w:id="700" w:name="Tc_8MsNSbczfUWvN0HeZRXe3w_7_8"/>
      <w:bookmarkStart w:id="701" w:name="Tc_PdeQqq5DSUirpIF0YmTw2w_7_5"/>
      <w:bookmarkStart w:id="702" w:name="Tc_vqoODIEHLkWE6-kJzsPjog_7_2"/>
      <w:bookmarkStart w:id="703" w:name="Tc_cb3wABvsbk2Bz0LqK_YUJQ_7_0"/>
      <w:bookmarkStart w:id="704" w:name="Tc_-lZG2U1gmUGx2y-gfX7iDg_6_9"/>
      <w:bookmarkStart w:id="705" w:name="Tc_5gbq-LEzeUCt8Xk5SYTP9A_6_6"/>
      <w:bookmarkStart w:id="706" w:name="Tc_YKxe5p0H-E6s_x-c7cGd1g_6_3"/>
      <w:bookmarkStart w:id="707" w:name="Tc_vn0AjmpYuU2gTgi_rMY1Tw_6_0"/>
      <w:bookmarkStart w:id="708" w:name="Tc_B_2lQkaZYk-55pWC5U2UdQ_5_11"/>
      <w:bookmarkStart w:id="709" w:name="Tc_yD2gZDHnOkSwDEtIZHExbQ_5_8"/>
      <w:bookmarkStart w:id="710" w:name="Tc_JNg3ELNisUylb7SW22LVmA_5_5"/>
      <w:bookmarkStart w:id="711" w:name="Tc_UOXckfmJyka6ILmiTdYYVw_5_2"/>
      <w:bookmarkStart w:id="712" w:name="Tc_a6EmmDFZa0OhRmBk-7W_Qg_5_0"/>
      <w:bookmarkStart w:id="713" w:name="Tc_ZJ6-6JeHM0S93NLXo3m0Sw_4_0"/>
      <w:bookmarkStart w:id="714" w:name="Tc_e1COVjk9DUC_VqCVzfPbBw_3_11"/>
      <w:bookmarkStart w:id="715" w:name="Tc_CrNMHKmi2Uaj7AkIl97_4w_3_8"/>
      <w:bookmarkStart w:id="716" w:name="Tc_5iCivV3x-0aphlMXJLqBMw_3_5"/>
      <w:bookmarkStart w:id="717" w:name="Tc_KkjdNqopWUawzBiEUZ11IA_3_2"/>
      <w:bookmarkStart w:id="718" w:name="Tc_gR5RxsOP4kiqqsSa_8z1wg_2_8"/>
      <w:bookmarkStart w:id="719" w:name="Tc_6C9-p4lDNEuMpiEtpJ1Ilg_2_2"/>
      <w:bookmarkStart w:id="720" w:name="Tc_O2tOdUXC_0OtdiYSyZG1Wg_1_8"/>
      <w:bookmarkStart w:id="721" w:name="Tc_SZU7FptV6kC_Q7uCrty76Q_1_2"/>
      <w:bookmarkStart w:id="722" w:name="_1ef6e51c_4186_41ed_892b_65d25ec57510"/>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rFonts w:ascii="Times New Roman;Times;serif" w:hAnsi="Times New Roman;Times;serif"/>
          <w:b/>
          <w:sz w:val="20"/>
        </w:rPr>
        <w:t>3. Net Loss per Share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shows the calculation of net (loss) income per share (in thousands, except share and per share data):</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442"/>
        <w:gridCol w:w="346"/>
        <w:gridCol w:w="211"/>
        <w:gridCol w:w="1036"/>
        <w:gridCol w:w="346"/>
        <w:gridCol w:w="211"/>
        <w:gridCol w:w="1036"/>
        <w:gridCol w:w="346"/>
        <w:gridCol w:w="211"/>
        <w:gridCol w:w="1036"/>
        <w:gridCol w:w="346"/>
        <w:gridCol w:w="211"/>
        <w:gridCol w:w="1036"/>
        <w:gridCol w:w="391"/>
      </w:tblGrid>
      <w:tr>
        <w:trPr/>
        <w:tc>
          <w:tcPr>
            <w:tcW w:w="34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185670" cy="175260"/>
                      <wp:effectExtent l="0" t="0" r="0" b="0"/>
                      <wp:wrapNone/>
                      <wp:docPr id="73" name="Frame73"/>
                      <a:graphic xmlns:a="http://schemas.openxmlformats.org/drawingml/2006/main">
                        <a:graphicData uri="http://schemas.microsoft.com/office/word/2010/wordprocessingShape">
                          <wps:wsp>
                            <wps:cNvSpPr txBox="1"/>
                            <wps:spPr>
                              <a:xfrm>
                                <a:off x="0" y="0"/>
                                <a:ext cx="218567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219710" cy="175260"/>
                      <wp:effectExtent l="0" t="0" r="0" b="0"/>
                      <wp:wrapNone/>
                      <wp:docPr id="74" name="Frame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133985" cy="175260"/>
                      <wp:effectExtent l="0" t="0" r="0" b="0"/>
                      <wp:wrapNone/>
                      <wp:docPr id="75" name="Frame7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57860" cy="175260"/>
                      <wp:effectExtent l="0" t="0" r="0" b="0"/>
                      <wp:wrapNone/>
                      <wp:docPr id="76" name="Frame7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19710" cy="175260"/>
                      <wp:effectExtent l="0" t="0" r="0" b="0"/>
                      <wp:wrapNone/>
                      <wp:docPr id="77" name="Frame7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260"/>
                      <wp:effectExtent l="0" t="0" r="0" b="0"/>
                      <wp:wrapNone/>
                      <wp:docPr id="79" name="Frame7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19710" cy="175260"/>
                      <wp:effectExtent l="0" t="0" r="0" b="0"/>
                      <wp:wrapNone/>
                      <wp:docPr id="80" name="Frame8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57860" cy="175260"/>
                      <wp:effectExtent l="0" t="0" r="0" b="0"/>
                      <wp:wrapNone/>
                      <wp:docPr id="82" name="Frame8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19710" cy="175260"/>
                      <wp:effectExtent l="0" t="0" r="0" b="0"/>
                      <wp:wrapNone/>
                      <wp:docPr id="83" name="Frame8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260"/>
                      <wp:effectExtent l="0" t="0" r="0" b="0"/>
                      <wp:wrapNone/>
                      <wp:docPr id="85" name="Frame8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48285" cy="175260"/>
                      <wp:effectExtent l="0" t="0" r="0" b="0"/>
                      <wp:wrapNone/>
                      <wp:docPr id="86" name="Frame8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lineRule="auto" w:line="285" w:before="0" w:after="0"/>
              <w:ind w:left="0" w:right="0" w:hanging="0"/>
              <w:jc w:val="center"/>
              <w:rPr/>
            </w:pPr>
            <w:r>
              <w:rPr/>
              <w:t>​</w: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284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lineRule="auto" w:line="285" w:before="0" w:after="0"/>
              <w:ind w:left="0" w:right="0" w:hanging="0"/>
              <w:jc w:val="center"/>
              <w:rPr/>
            </w:pPr>
            <w:r>
              <w:rPr/>
              <w:t>​</w:t>
            </w:r>
          </w:p>
        </w:tc>
      </w:tr>
      <w:tr>
        <w:trPr/>
        <w:tc>
          <w:tcPr>
            <w:tcW w:w="3442"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24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attributable to common stockholders, 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Gain from 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 basic and diluted</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(19,946)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basic and diluted net (loss) income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92,368,013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77,774,344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91,188,921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74,966,022</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shares issuable upon the exercise of common warrants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1,555,686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and prefunded warrants outstanding used to compute diluted net loss per share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92,368,013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77,774,344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91,188,921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76,521,708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42"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 per share, basic</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42"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per share, diluted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(0.10)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(0.35)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(0.26)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Weighted average common shares outstanding used in the calculation of basic and diluted net loss per share for the three and six months ended June 30, 2026 and 2025 includes 8,275,913 shares of common stock issuable upon conversion of pre-funded warrants. Refer to Note 9, “Warrants” for further details.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Shares issuable upon exercise of common warrants used in the calculation of diluted net loss per share for the six months ended June 30, 2025 were calculated using the treasury stock method.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firstLine="720"/>
        <w:jc w:val="left"/>
        <w:rPr>
          <w:rFonts w:ascii="Times New Roman;Times;serif" w:hAnsi="Times New Roman;Times;serif"/>
          <w:sz w:val="20"/>
        </w:rPr>
      </w:pPr>
      <w:bookmarkStart w:id="723" w:name="Tc_4FT-RZf93EmM04gZiNeVPw_4_0"/>
      <w:bookmarkStart w:id="724" w:name="Tc__VxX0PHwME-5jUI-wOob2A_3_8"/>
      <w:bookmarkStart w:id="725" w:name="Tc_1Sdo4Nb3AEimtHsUX1HLdg_3_6"/>
      <w:bookmarkStart w:id="726" w:name="Tc_PLM_e_0EdkKBabVBuz7cIw_3_4"/>
      <w:bookmarkStart w:id="727" w:name="Tc_hMGCACB_xE6MmaWRJM5w4Q_3_2"/>
      <w:bookmarkStart w:id="728" w:name="Tc_8LvHtuaL1kOiGzeOVTRX-Q_2_6"/>
      <w:bookmarkStart w:id="729" w:name="Tc_QCBh1zZoGkSUlWqtDJhJvg_2_2"/>
      <w:bookmarkStart w:id="730" w:name="Tc_ik_C4-JO_022UtGO4cmuUQ_1_6"/>
      <w:bookmarkStart w:id="731" w:name="Tc_i2SHXxKVOEWVqw1ot2OECw_1_2"/>
      <w:bookmarkStart w:id="732" w:name="_96798ea8_9e9b_4f57_95e3_d1a8116666a2"/>
      <w:bookmarkEnd w:id="723"/>
      <w:bookmarkEnd w:id="724"/>
      <w:bookmarkEnd w:id="725"/>
      <w:bookmarkEnd w:id="726"/>
      <w:bookmarkEnd w:id="727"/>
      <w:bookmarkEnd w:id="728"/>
      <w:bookmarkEnd w:id="729"/>
      <w:bookmarkEnd w:id="730"/>
      <w:bookmarkEnd w:id="731"/>
      <w:bookmarkEnd w:id="732"/>
      <w:r>
        <w:rPr>
          <w:rFonts w:ascii="Times New Roman;Times;serif" w:hAnsi="Times New Roman;Times;serif"/>
          <w:sz w:val="20"/>
        </w:rPr>
        <w:t>The amounts in the table below were excluded from the calculation of diluted net loss per share, due to their anti-dilutive effect:</w:t>
      </w:r>
    </w:p>
    <w:p>
      <w:pPr>
        <w:pStyle w:val="TextBody"/>
        <w:bidi w:val="0"/>
        <w:spacing w:lineRule="auto" w:line="285" w:before="0" w:after="0"/>
        <w:ind w:left="0" w:right="0" w:firstLine="720"/>
        <w:jc w:val="left"/>
        <w:rPr/>
      </w:pPr>
      <w:r>
        <w:rPr/>
        <w:t>​</w:t>
      </w:r>
    </w:p>
    <w:tbl>
      <w:tblPr>
        <w:tblW w:w="7705" w:type="dxa"/>
        <w:jc w:val="left"/>
        <w:tblInd w:w="0" w:type="dxa"/>
        <w:tblLayout w:type="fixed"/>
        <w:tblCellMar>
          <w:top w:w="0" w:type="dxa"/>
          <w:left w:w="0" w:type="dxa"/>
          <w:bottom w:w="0" w:type="dxa"/>
          <w:right w:w="0" w:type="dxa"/>
        </w:tblCellMar>
      </w:tblPr>
      <w:tblGrid>
        <w:gridCol w:w="1786"/>
        <w:gridCol w:w="346"/>
        <w:gridCol w:w="1036"/>
        <w:gridCol w:w="346"/>
        <w:gridCol w:w="1036"/>
        <w:gridCol w:w="346"/>
        <w:gridCol w:w="1036"/>
        <w:gridCol w:w="346"/>
        <w:gridCol w:w="1036"/>
        <w:gridCol w:w="39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1134110" cy="175260"/>
                      <wp:effectExtent l="0" t="0" r="0" b="0"/>
                      <wp:wrapNone/>
                      <wp:docPr id="87" name="Frame87"/>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219710" cy="175260"/>
                      <wp:effectExtent l="0" t="0" r="0" b="0"/>
                      <wp:wrapNone/>
                      <wp:docPr id="88" name="Frame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57860" cy="175260"/>
                      <wp:effectExtent l="0" t="0" r="0" b="0"/>
                      <wp:wrapNone/>
                      <wp:docPr id="89" name="Frame8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219710" cy="175260"/>
                      <wp:effectExtent l="0" t="0" r="0" b="0"/>
                      <wp:wrapNone/>
                      <wp:docPr id="90" name="Frame9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57860" cy="175260"/>
                      <wp:effectExtent l="0" t="0" r="0" b="0"/>
                      <wp:wrapNone/>
                      <wp:docPr id="91" name="Frame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19710" cy="175260"/>
                      <wp:effectExtent l="0" t="0" r="0" b="0"/>
                      <wp:wrapNone/>
                      <wp:docPr id="92" name="Frame9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57860" cy="175260"/>
                      <wp:effectExtent l="0" t="0" r="0" b="0"/>
                      <wp:wrapNone/>
                      <wp:docPr id="93" name="Frame9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19710" cy="175260"/>
                      <wp:effectExtent l="0" t="0" r="0" b="0"/>
                      <wp:wrapNone/>
                      <wp:docPr id="94" name="Frame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57860" cy="175260"/>
                      <wp:effectExtent l="0" t="0" r="0" b="0"/>
                      <wp:wrapNone/>
                      <wp:docPr id="95" name="Frame9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48285" cy="175260"/>
                      <wp:effectExtent l="0" t="0" r="0" b="0"/>
                      <wp:wrapNone/>
                      <wp:docPr id="96" name="Frame96"/>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2418" w:type="dxa"/>
            <w:gridSpan w:val="3"/>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178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178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13,253,806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11,651,683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13,253,806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11,651,683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733" w:name="Tc_VKj4S92fikWFQj5MxHa_bQ_13_11"/>
      <w:bookmarkStart w:id="734" w:name="Tc_1JJ7AgTtWE2CtWoN-4oL-Q_13_8"/>
      <w:bookmarkStart w:id="735" w:name="Tc_w4gyTfpKs0ShdbVx-kXrAg_13_5"/>
      <w:bookmarkStart w:id="736" w:name="Tc_wc98fkgYt0uE-JaoOpo3hg_13_2"/>
      <w:bookmarkStart w:id="737" w:name="Tc_Y92BLIBFfk2ai4faiObHRA_13_0"/>
      <w:bookmarkStart w:id="738" w:name="Tc_97tfX26ULEGK2Xn3WrLzRg_12_0"/>
      <w:bookmarkStart w:id="739" w:name="Tc_r6vPYFCLtUWdaJ36-9JIVg_11_0"/>
      <w:bookmarkStart w:id="740" w:name="Tc_RlKbQBywEEmYb08yBdDoTg_10_0"/>
      <w:bookmarkStart w:id="741" w:name="Tc_mM7XYUBm9UyyrnwBTkNQKA_9_0"/>
      <w:bookmarkStart w:id="742" w:name="Tc_Io9q6Wx4_0CQDkMbFwDRJg_8_0"/>
      <w:bookmarkStart w:id="743" w:name="Tc_zCiENdOSAE6I1J0dfjCRgw_7_0"/>
      <w:bookmarkStart w:id="744" w:name="Tc_oNvDknDdVUGkmHzhZ8Z4hQ_6_0"/>
      <w:bookmarkStart w:id="745" w:name="Tc_NKjHNi-RlkyMgN41WNBrRQ_5_0"/>
      <w:bookmarkStart w:id="746" w:name="Tc_wpa5c9sQK0qZ0YIIMn_cQA_4_11"/>
      <w:bookmarkStart w:id="747" w:name="Tc_7yErAOSPz0-fghpJUhV3sg_4_8"/>
      <w:bookmarkStart w:id="748" w:name="Tc_GPtW_ztPi0uYS-c8OLoQUQ_4_5"/>
      <w:bookmarkStart w:id="749" w:name="Tc_drsEY5Qi0Ee6HY_3C7uFvQ_4_2"/>
      <w:bookmarkStart w:id="750" w:name="Tc_QBeys05gI0-FhdH82xDGFA_4_0"/>
      <w:bookmarkStart w:id="751" w:name="Tc_z6GCu36xP0-1D16hXG5gnw_3_11"/>
      <w:bookmarkStart w:id="752" w:name="Tc_wk9fVcEybEyIlgHOGFyHCw_3_8"/>
      <w:bookmarkStart w:id="753" w:name="Tc_xUbykUjZAUe3BwIMvHF3VA_3_5"/>
      <w:bookmarkStart w:id="754" w:name="Tc_12iQ20igMkG5zEzbPTWw5g_3_2"/>
      <w:bookmarkStart w:id="755" w:name="Tc_jqwNCR_FW06V_F9DwurhZw_2_8"/>
      <w:bookmarkStart w:id="756" w:name="Tc_AQ6bj8ik6ku1vQSYQj5JlQ_2_2"/>
      <w:bookmarkStart w:id="757" w:name="Tc_Nx_Z4ckYbEWlE1590QknpQ_1_8"/>
      <w:bookmarkStart w:id="758" w:name="Tc_wNcb3fWLbEGdaU_oudhAfA_1_2"/>
      <w:bookmarkStart w:id="759" w:name="_efaf009d_6ce2_4fcd_a5ec_0e9e40f9e02f"/>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r>
        <w:rPr>
          <w:rFonts w:ascii="Times New Roman;Times;serif" w:hAnsi="Times New Roman;Times;serif"/>
          <w:b/>
          <w:sz w:val="20"/>
        </w:rPr>
        <w:t>4. Segments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Company views its operations and manages its business in one operating segment, that of the development and commercialization of drugs and antibodies that target critical elements of the immune system. The Company’s Chief Operating Decision Maker (“CODM”) is made up of the Chief Executive Officer and Chief Financial Officer. The CODM assesses performance for the segment and decides how to allocate resources based on consolidated net loss that is reported on the consolidated statement of operations and comprehensive loss. The measure of segment assets is reported on the balance sheet as total consolidated assets. Managing and allocating resources on a consolidated basis enables the CODM to assess the overall level of resources available and how to best deploy these resources across functions and programs that are in line with the Company’s long-term company-wide strategic goals.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presents reportable segment net loss, including significant expense categories, attributable to the Company’s reportable segment for the three and six months ended June 30, 2026 and 2025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4966"/>
        <w:gridCol w:w="346"/>
        <w:gridCol w:w="211"/>
        <w:gridCol w:w="689"/>
        <w:gridCol w:w="346"/>
        <w:gridCol w:w="211"/>
        <w:gridCol w:w="689"/>
        <w:gridCol w:w="109"/>
        <w:gridCol w:w="211"/>
        <w:gridCol w:w="689"/>
        <w:gridCol w:w="346"/>
        <w:gridCol w:w="211"/>
        <w:gridCol w:w="789"/>
        <w:gridCol w:w="392"/>
      </w:tblGrid>
      <w:tr>
        <w:trPr/>
        <w:tc>
          <w:tcPr>
            <w:tcW w:w="4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3153410" cy="175260"/>
                      <wp:effectExtent l="0" t="0" r="0" b="0"/>
                      <wp:wrapNone/>
                      <wp:docPr id="97" name="Frame97"/>
                      <a:graphic xmlns:a="http://schemas.openxmlformats.org/drawingml/2006/main">
                        <a:graphicData uri="http://schemas.microsoft.com/office/word/2010/wordprocessingShape">
                          <wps:wsp>
                            <wps:cNvSpPr txBox="1"/>
                            <wps:spPr>
                              <a:xfrm>
                                <a:off x="0" y="0"/>
                                <a:ext cx="31534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19710" cy="175260"/>
                      <wp:effectExtent l="0" t="0" r="0" b="0"/>
                      <wp:wrapNone/>
                      <wp:docPr id="98" name="Frame9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437515" cy="175260"/>
                      <wp:effectExtent l="0" t="0" r="0" b="0"/>
                      <wp:wrapNone/>
                      <wp:docPr id="100" name="Frame100"/>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219710" cy="175260"/>
                      <wp:effectExtent l="0" t="0" r="0" b="0"/>
                      <wp:wrapNone/>
                      <wp:docPr id="101" name="Frame10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2" name="Frame1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37515" cy="175260"/>
                      <wp:effectExtent l="0" t="0" r="0" b="0"/>
                      <wp:wrapNone/>
                      <wp:docPr id="103" name="Frame103"/>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9215" cy="175260"/>
                      <wp:effectExtent l="0" t="0" r="0" b="0"/>
                      <wp:wrapNone/>
                      <wp:docPr id="104" name="Frame10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133985" cy="175260"/>
                      <wp:effectExtent l="0" t="0" r="0" b="0"/>
                      <wp:wrapNone/>
                      <wp:docPr id="105" name="Frame10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437515" cy="175260"/>
                      <wp:effectExtent l="0" t="0" r="0" b="0"/>
                      <wp:wrapNone/>
                      <wp:docPr id="106" name="Frame106"/>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19710" cy="175260"/>
                      <wp:effectExtent l="0" t="0" r="0" b="0"/>
                      <wp:wrapNone/>
                      <wp:docPr id="107" name="Frame10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01015" cy="175260"/>
                      <wp:effectExtent l="0" t="0" r="0" b="0"/>
                      <wp:wrapNone/>
                      <wp:docPr id="109" name="Frame109"/>
                      <a:graphic xmlns:a="http://schemas.openxmlformats.org/drawingml/2006/main">
                        <a:graphicData uri="http://schemas.microsoft.com/office/word/2010/wordprocessingShape">
                          <wps:wsp>
                            <wps:cNvSpPr txBox="1"/>
                            <wps:spPr>
                              <a:xfrm>
                                <a:off x="0" y="0"/>
                                <a:ext cx="5010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48920" cy="175260"/>
                      <wp:effectExtent l="0" t="0" r="0" b="0"/>
                      <wp:wrapNone/>
                      <wp:docPr id="110" name="Frame110"/>
                      <a:graphic xmlns:a="http://schemas.openxmlformats.org/drawingml/2006/main">
                        <a:graphicData uri="http://schemas.microsoft.com/office/word/2010/wordprocessingShape">
                          <wps:wsp>
                            <wps:cNvSpPr txBox="1"/>
                            <wps:spPr>
                              <a:xfrm>
                                <a:off x="0" y="0"/>
                                <a:ext cx="2489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46"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109" w:type="dxa"/>
            <w:tcBorders/>
            <w:vAlign w:val="center"/>
          </w:tcPr>
          <w:p>
            <w:pPr>
              <w:pStyle w:val="TableContents"/>
              <w:bidi w:val="0"/>
              <w:spacing w:lineRule="auto" w:line="285" w:before="0" w:after="0"/>
              <w:ind w:left="0" w:right="0" w:hanging="0"/>
              <w:jc w:val="center"/>
              <w:rPr/>
            </w:pPr>
            <w:r>
              <w:rPr/>
              <w:t>​</w:t>
            </w:r>
          </w:p>
        </w:tc>
        <w:tc>
          <w:tcPr>
            <w:tcW w:w="2246"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4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lineRule="auto" w:line="285" w:before="0" w:after="0"/>
              <w:ind w:left="0" w:right="0" w:hanging="0"/>
              <w:jc w:val="center"/>
              <w:rPr/>
            </w:pPr>
            <w:r>
              <w:rPr/>
              <w:t>​</w:t>
            </w:r>
          </w:p>
        </w:tc>
        <w:tc>
          <w:tcPr>
            <w:tcW w:w="2246"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center"/>
              <w:rPr/>
            </w:pPr>
            <w:r>
              <w:rPr/>
              <w:t>​</w:t>
            </w:r>
          </w:p>
        </w:tc>
        <w:tc>
          <w:tcPr>
            <w:tcW w:w="9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2" w:type="dxa"/>
            <w:tcBorders/>
            <w:vAlign w:val="center"/>
          </w:tcPr>
          <w:p>
            <w:pPr>
              <w:pStyle w:val="TableContents"/>
              <w:bidi w:val="0"/>
              <w:spacing w:lineRule="auto" w:line="285" w:before="0" w:after="0"/>
              <w:ind w:left="0" w:right="0" w:hanging="0"/>
              <w:jc w:val="left"/>
              <w:rPr/>
            </w:pPr>
            <w:r>
              <w:rPr/>
              <w:t>  ​ ​ ​</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Compensation and benefits, excluding stock-based compensation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3,147</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4,383</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5,259</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Drug manufacturing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2,441</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1,850</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2,872</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3,680</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Clinical trials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2,135</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10,453</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4,062</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Outside 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848</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2,150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9"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1,794</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Facilities and insurance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630</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1,188</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vAlign w:val="center"/>
          </w:tcPr>
          <w:p>
            <w:pPr>
              <w:pStyle w:val="TableContents"/>
              <w:bidi w:val="0"/>
              <w:spacing w:lineRule="auto" w:line="285" w:before="0" w:after="0"/>
              <w:ind w:left="0" w:right="0" w:hanging="0"/>
              <w:jc w:val="left"/>
              <w:rPr/>
            </w:pPr>
            <w:r>
              <w:rPr/>
              <w:t>​</w:t>
            </w:r>
          </w:p>
        </w:tc>
        <w:tc>
          <w:tcPr>
            <w:tcW w:w="789"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1,284</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segment items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4,154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1,523</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6,078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2,472</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segment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10,260</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34,174</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92" w:type="dxa"/>
            <w:tcBorders/>
            <w:vAlign w:val="center"/>
          </w:tcPr>
          <w:p>
            <w:pPr>
              <w:pStyle w:val="TableContents"/>
              <w:bidi w:val="0"/>
              <w:spacing w:lineRule="auto" w:line="285" w:before="0" w:after="0"/>
              <w:ind w:left="0" w:right="0" w:hanging="0"/>
              <w:jc w:val="left"/>
              <w:rPr/>
            </w:pPr>
            <w:r>
              <w:rPr/>
              <w:t>​</w:t>
            </w:r>
          </w:p>
        </w:tc>
      </w:tr>
      <w:tr>
        <w:trPr/>
        <w:tc>
          <w:tcPr>
            <w:tcW w:w="49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Non-operating income, net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(1,338)</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(2,262)</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(2,523)</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89"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(27,377)</w:t>
            </w:r>
          </w:p>
        </w:tc>
        <w:tc>
          <w:tcPr>
            <w:tcW w:w="392" w:type="dxa"/>
            <w:tcBorders/>
            <w:shd w:fill="CCEEFF" w:val="clear"/>
            <w:vAlign w:val="center"/>
          </w:tcPr>
          <w:p>
            <w:pPr>
              <w:pStyle w:val="TableContents"/>
              <w:bidi w:val="0"/>
              <w:spacing w:lineRule="auto" w:line="285" w:before="0" w:after="0"/>
              <w:ind w:left="0" w:right="0" w:hanging="0"/>
              <w:jc w:val="left"/>
              <w:rPr/>
            </w:pPr>
            <w:r>
              <w:rPr/>
              <w:t>​</w:t>
            </w:r>
          </w:p>
        </w:tc>
      </w:tr>
      <w:tr>
        <w:trPr/>
        <w:tc>
          <w:tcPr>
            <w:tcW w:w="49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17,959</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346" w:type="dxa"/>
            <w:tcBorders/>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9"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392" w:type="dxa"/>
            <w:tcBorders/>
            <w:vAlign w:val="center"/>
          </w:tcPr>
          <w:p>
            <w:pPr>
              <w:pStyle w:val="TableContents"/>
              <w:bidi w:val="0"/>
              <w:spacing w:lineRule="auto" w:line="285" w:before="0" w:after="0"/>
              <w:ind w:left="0" w:right="0" w:hanging="0"/>
              <w:jc w:val="left"/>
              <w:rPr/>
            </w:pPr>
            <w:r>
              <w:rPr/>
              <w:t>​</w:t>
            </w:r>
          </w:p>
        </w:tc>
      </w:tr>
    </w:tbl>
    <w:tbl>
      <w:tblPr>
        <w:tblW w:w="5147" w:type="dxa"/>
        <w:jc w:val="left"/>
        <w:tblInd w:w="0" w:type="dxa"/>
        <w:tblLayout w:type="fixed"/>
        <w:tblCellMar>
          <w:top w:w="0" w:type="dxa"/>
          <w:left w:w="0" w:type="dxa"/>
          <w:bottom w:w="0" w:type="dxa"/>
          <w:right w:w="0" w:type="dxa"/>
        </w:tblCellMar>
      </w:tblPr>
      <w:tblGrid>
        <w:gridCol w:w="331"/>
        <w:gridCol w:w="4816"/>
      </w:tblGrid>
      <w:tr>
        <w:trPr/>
        <w:tc>
          <w:tcPr>
            <w:tcW w:w="331" w:type="dxa"/>
            <w:tcBorders/>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(1)</w:t>
            </w:r>
          </w:p>
        </w:tc>
        <w:tc>
          <w:tcPr>
            <w:tcW w:w="48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Includes consulting, non-clinical research and laboratory supplies.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5. Fair Value Measurements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Financial assets and liabilities are measured and recorded at fair value. The Company is required to disclose information on all assets and liabilities reported at fair value that enables an assessment of the inputs used in determining the reported fair values. The fair value hierarchy prioritizes valuation inputs based on the observable nature of those inputs. The fair value hierarchy applies only to the valuation inputs used in determining the reported fair value of the investments and is not a measure of the investment credit quality. The hierarchy defines three levels of valuation inputs:</w:t>
      </w:r>
    </w:p>
    <w:p>
      <w:pPr>
        <w:pStyle w:val="TextBody"/>
        <w:bidi w:val="0"/>
        <w:spacing w:lineRule="auto" w:line="285" w:before="0" w:after="0"/>
        <w:ind w:left="0" w:right="0" w:hanging="0"/>
        <w:jc w:val="left"/>
        <w:rPr/>
      </w:pPr>
      <w:r>
        <w:rPr/>
        <w:t>​</w:t>
      </w:r>
    </w:p>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1—Quoted prices in active markets for identical assets or liabilities</w:t>
            </w:r>
          </w:p>
        </w:tc>
      </w:tr>
    </w:tbl>
    <w:p>
      <w:pPr>
        <w:pStyle w:val="TextBody"/>
        <w:bidi w:val="0"/>
        <w:spacing w:lineRule="auto" w:line="285" w:before="0" w:after="0"/>
        <w:ind w:left="720" w:right="0" w:firstLine="72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2—Inputs other than quoted prices included within Level 1 that are observable for the asset or liability, either directly or indirectly</w:t>
            </w:r>
          </w:p>
        </w:tc>
      </w:tr>
    </w:tbl>
    <w:p>
      <w:pPr>
        <w:pStyle w:val="TextBody"/>
        <w:bidi w:val="0"/>
        <w:spacing w:lineRule="auto" w:line="285" w:before="0" w:after="0"/>
        <w:ind w:left="720" w:right="0" w:firstLine="72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760" w:name="Tc_Dtp0qju1o0CjyfiFeKjcmw_7_11"/>
      <w:bookmarkStart w:id="761" w:name="Tc_a2xIIJ3GgEKT_ayL1yd0QA_7_9"/>
      <w:bookmarkStart w:id="762" w:name="Tc_d1fta7CENkebDeBiCjbafg_7_8"/>
      <w:bookmarkStart w:id="763" w:name="Tc_VApfV1Sl2kGLvOkchGaP-A_7_5"/>
      <w:bookmarkStart w:id="764" w:name="Tc_9SmY3flNsky-rbXoiQZ3Sw_7_2"/>
      <w:bookmarkStart w:id="765" w:name="Tc_UbwM8bcjtU21ha2DqZLysg_6_9"/>
      <w:bookmarkStart w:id="766" w:name="Tc_OTUI-fi980OGsgJOQPVp3w_6_0"/>
      <w:bookmarkStart w:id="767" w:name="Tc_Qwljl9geaEyF100in3CUHg_5_11"/>
      <w:bookmarkStart w:id="768" w:name="Tc_DK3aRiPmp0qIOXLTTr-F6A_5_9"/>
      <w:bookmarkStart w:id="769" w:name="Tc_ClmSj8rU-U-QD68N_Cpd2A_5_8"/>
      <w:bookmarkStart w:id="770" w:name="Tc_9SQ431FYcEKUUuhoghCALA_5_5"/>
      <w:bookmarkStart w:id="771" w:name="Tc_feNMzuBqIE2n9G7oEIda-g_5_2"/>
      <w:bookmarkStart w:id="772" w:name="Tc_VW3Bznz1IUGCuDSrJ-WPiA_5_0"/>
      <w:bookmarkStart w:id="773" w:name="Tc_AM39DR3o2USzkn12PvTzDA_4_11"/>
      <w:bookmarkStart w:id="774" w:name="Tc_CF0-yB9LEka9OUQhE1c2OA_4_8"/>
      <w:bookmarkStart w:id="775" w:name="Tc_64fr63UXuEeTQPrYaJNsaw_4_5"/>
      <w:bookmarkStart w:id="776" w:name="Tc_7Jtwl2hPQEWWuwAKI1YLyA_4_2"/>
      <w:bookmarkStart w:id="777" w:name="Tc_Z0LOEt1O8EWysfqTVnpCVw_3_11"/>
      <w:bookmarkStart w:id="778" w:name="Tc_BnqU_krQF0Cvydhb09o46A_3_8"/>
      <w:bookmarkStart w:id="779" w:name="Tc_bwXMY-jSpUmpLLCGOQGdLA_3_5"/>
      <w:bookmarkStart w:id="780" w:name="Tc_jp178G-5OUaglfnq-bqCew_3_2"/>
      <w:bookmarkStart w:id="781" w:name="Tc_7a6CC_Szsk6EBWgrQ9Q-dA_2_8"/>
      <w:bookmarkStart w:id="782" w:name="Tc_QeWPfwZGuEOUE1QsT8a4_g_2_5"/>
      <w:bookmarkStart w:id="783" w:name="Tc_mkrH-evZaEGGu76X_Al-vg_1_2"/>
      <w:bookmarkStart w:id="784" w:name="_0c927464_7784_4845_9a92_7d2993ee0c7e"/>
      <w:bookmarkStart w:id="785" w:name="Tc_xYpDkDzPGEeSZlos1Foz4A_7_11"/>
      <w:bookmarkStart w:id="786" w:name="Tc_fEThkeIS9k-ffWbpKXTq3A_7_8"/>
      <w:bookmarkStart w:id="787" w:name="Tc_wNOHfRNkSUuqcq3K926LNw_7_5"/>
      <w:bookmarkStart w:id="788" w:name="Tc_EsuV5Tr_DEqDaoBESFqmCQ_7_2"/>
      <w:bookmarkStart w:id="789" w:name="Tc_-nkDy48UEkirJxvXaHmtqA_6_6"/>
      <w:bookmarkStart w:id="790" w:name="Tc_lrD2cCgeKEWm0GApDzshnQ_6_0"/>
      <w:bookmarkStart w:id="791" w:name="Tc_YGL93GFGRkGSbtKv-WpmEw_5_11"/>
      <w:bookmarkStart w:id="792" w:name="Tc_Teg5ffcc7U-NHTA1jM6PzQ_5_8"/>
      <w:bookmarkStart w:id="793" w:name="Tc_yP78esopJUWs7J5QEr3_VA_5_5"/>
      <w:bookmarkStart w:id="794" w:name="Tc_G6Kc9yPuKkWc_cVAMgKpRw_5_2"/>
      <w:bookmarkStart w:id="795" w:name="Tc_aF1MPPih502J8eG_nKLSTQ_5_0"/>
      <w:bookmarkStart w:id="796" w:name="Tc_uRzZSBWjoUa61jPD5vJKpA_4_11"/>
      <w:bookmarkStart w:id="797" w:name="Tc_i7xvTMKc20GCSHRnIStSPg_4_8"/>
      <w:bookmarkStart w:id="798" w:name="Tc_IE_UbkKxyUyrYseZYV_GCg_4_5"/>
      <w:bookmarkStart w:id="799" w:name="Tc_VzOFvIkdjk-wwK9q7MCLqQ_4_2"/>
      <w:bookmarkStart w:id="800" w:name="Tc_I71bZ41aKkuNRlmGK4M0HA_3_11"/>
      <w:bookmarkStart w:id="801" w:name="Tc_Z0fmkPzZEUyDih9ormgOEg_3_8"/>
      <w:bookmarkStart w:id="802" w:name="Tc_IdCAXaN4FESsW57FZMlAXA_3_5"/>
      <w:bookmarkStart w:id="803" w:name="Tc_JmNeljs42kC3eP_HeMHd5Q_3_2"/>
      <w:bookmarkStart w:id="804" w:name="Tc_nudc5ZYahECLHwSBcjXlGg_2_8"/>
      <w:bookmarkStart w:id="805" w:name="Tc_kRnRpYkCB069P7PkHCVs4g_2_5"/>
      <w:bookmarkStart w:id="806" w:name="Tc_CMQExYT6rECC5D8j_ILy7Q_1_2"/>
      <w:bookmarkStart w:id="807" w:name="_556044ce_7c46_4fa9_bb4b_38bae74c6d7d"/>
      <w:bookmarkStart w:id="808" w:name="Tc_qAKWsWTleUCIJ7cZHqnwzg_7_11"/>
      <w:bookmarkStart w:id="809" w:name="Tc_TLleU1YrHUW7fKRfrwfUEw_7_9"/>
      <w:bookmarkStart w:id="810" w:name="Tc_kvZQC6Equ0yWE9uNYg7tFA_7_8"/>
      <w:bookmarkStart w:id="811" w:name="Tc_sJ-jEOaKs06ZQNe_3DNGSw_7_5"/>
      <w:bookmarkStart w:id="812" w:name="Tc_S5Rg9F7L5E6Rz5S-FQqEgg_7_2"/>
      <w:bookmarkStart w:id="813" w:name="Tc_nphbl14DrEaWIrTxilWzFA_6_9"/>
      <w:bookmarkStart w:id="814" w:name="Tc_-fvD4CDZ2UqJy4UV7nVUcA_6_3"/>
      <w:bookmarkStart w:id="815" w:name="Tc_WWFmgHAP3U2eI8-qnGv7-w_6_0"/>
      <w:bookmarkStart w:id="816" w:name="Tc_U3tDhhuQzEOaPatEb281FA_5_11"/>
      <w:bookmarkStart w:id="817" w:name="Tc_z72xwUVhLkKMnv-XsI-r4w_5_9"/>
      <w:bookmarkStart w:id="818" w:name="Tc_MiyqRtP_rkaBZploP53gOA_5_8"/>
      <w:bookmarkStart w:id="819" w:name="Tc_a4HGsMqK0UytK4ILH-EvKg_5_6"/>
      <w:bookmarkStart w:id="820" w:name="Tc_wgZK67F6jECeiS3uf-Z1GA_5_5"/>
      <w:bookmarkStart w:id="821" w:name="Tc_6Hyjy7MXGkK6SlAiRnpH0Q_5_2"/>
      <w:bookmarkStart w:id="822" w:name="Tc_2vzgCqctYUiNLP1dOWcq3w_5_0"/>
      <w:bookmarkStart w:id="823" w:name="Tc_XyNiCf1lkUSXj7xfdU7Waw_4_0"/>
      <w:bookmarkStart w:id="824" w:name="Tc_tmUXF3-7AUm9R7PXSsYmGg_3_11"/>
      <w:bookmarkStart w:id="825" w:name="Tc_IZ54bfAtg02mzUnd1bYd8g_3_8"/>
      <w:bookmarkStart w:id="826" w:name="Tc_ndE4R1jq9EKLl9mKLE2X8w_3_5"/>
      <w:bookmarkStart w:id="827" w:name="Tc_WL0iEPBxjkel2qbkl2SfOA_3_2"/>
      <w:bookmarkStart w:id="828" w:name="Tc_-gvldefHu0KhT1P0c_1IRw_2_11"/>
      <w:bookmarkStart w:id="829" w:name="Tc_fAS_sBIrnEuodaXNIvVrWQ_2_2"/>
      <w:bookmarkStart w:id="830" w:name="Tc_h-UQ5lr0xkuhX-Gh0RXP-w_1_2"/>
      <w:bookmarkStart w:id="831" w:name="_5c1dd3ec_1269_4ec7_bcb1_75242d62396c"/>
      <w:bookmarkStart w:id="832" w:name="Tc_jPEDqZ7j0EOsVBAl8gTHyw_7_11"/>
      <w:bookmarkStart w:id="833" w:name="Tc_4_ZfK2b8DUS8iN6kIqZRVw_7_9"/>
      <w:bookmarkStart w:id="834" w:name="Tc_BDH0dGyxLUaxFhXbc7qaNA_7_8"/>
      <w:bookmarkStart w:id="835" w:name="Tc_LUZTT_slMU6aq6P50dXERA_7_5"/>
      <w:bookmarkStart w:id="836" w:name="Tc_jCGvEY8I50Gx2jy3tI-LHg_7_2"/>
      <w:bookmarkStart w:id="837" w:name="Tc_BUEJzrM9_kmBURIjC5LPyg_6_9"/>
      <w:bookmarkStart w:id="838" w:name="Tc_w0L_Ob6jAkKTE7dPSuyPjw_6_3"/>
      <w:bookmarkStart w:id="839" w:name="Tc_8o47U-YTO0m5PjgGfK0c8Q_6_0"/>
      <w:bookmarkStart w:id="840" w:name="Tc_gUoZUCoEBUmD9CTnnnVUHQ_5_11"/>
      <w:bookmarkStart w:id="841" w:name="Tc_nT-1GCJxaUSCUD1oyIEt-Q_5_9"/>
      <w:bookmarkStart w:id="842" w:name="Tc_Uvwv1uNIikSPDelK-KUEbA_5_8"/>
      <w:bookmarkStart w:id="843" w:name="Tc_x2w6wiVnnkGMPM6AHMEeGg_5_6"/>
      <w:bookmarkStart w:id="844" w:name="Tc_z96Jc2RJm0OLY5_ZA-DDsA_5_5"/>
      <w:bookmarkStart w:id="845" w:name="Tc_KMG9wZIN2USY545fdVYNQg_5_2"/>
      <w:bookmarkStart w:id="846" w:name="Tc_TWlyTjpWiUCO57s51UTLtQ_5_0"/>
      <w:bookmarkStart w:id="847" w:name="Tc_79WnHb1jWUSr-J4JbT9mdQ_4_0"/>
      <w:bookmarkStart w:id="848" w:name="Tc_QloL6qTMzEG1ubTcJOYLZA_3_11"/>
      <w:bookmarkStart w:id="849" w:name="Tc_WXPdFa7N80GFgF6RQQ43FA_3_8"/>
      <w:bookmarkStart w:id="850" w:name="Tc_xIHZJ11ShU6XVg03pDTCmQ_3_5"/>
      <w:bookmarkStart w:id="851" w:name="Tc_auhrkRbBrkWboay7iPMHHw_3_2"/>
      <w:bookmarkStart w:id="852" w:name="Tc_krZWj26cp0OB5VfUlm2JdQ_2_11"/>
      <w:bookmarkStart w:id="853" w:name="Tc_Zq-JliZyNEO3Piut3UjiBg_2_2"/>
      <w:bookmarkStart w:id="854" w:name="Tc_VekGKvmB_0OPLsNFOFOVYA_1_2"/>
      <w:bookmarkStart w:id="855" w:name="_b9d6e4c9_0f48_496a_88cd_6f7625fbc35f"/>
      <w:bookmarkStart w:id="856" w:name="Tc_Dtp0qju1o0CjyfiFeKjcmw_7_11"/>
      <w:bookmarkStart w:id="857" w:name="Tc_a2xIIJ3GgEKT_ayL1yd0QA_7_9"/>
      <w:bookmarkStart w:id="858" w:name="Tc_d1fta7CENkebDeBiCjbafg_7_8"/>
      <w:bookmarkStart w:id="859" w:name="Tc_VApfV1Sl2kGLvOkchGaP-A_7_5"/>
      <w:bookmarkStart w:id="860" w:name="Tc_9SmY3flNsky-rbXoiQZ3Sw_7_2"/>
      <w:bookmarkStart w:id="861" w:name="Tc_UbwM8bcjtU21ha2DqZLysg_6_9"/>
      <w:bookmarkStart w:id="862" w:name="Tc_OTUI-fi980OGsgJOQPVp3w_6_0"/>
      <w:bookmarkStart w:id="863" w:name="Tc_Qwljl9geaEyF100in3CUHg_5_11"/>
      <w:bookmarkStart w:id="864" w:name="Tc_DK3aRiPmp0qIOXLTTr-F6A_5_9"/>
      <w:bookmarkStart w:id="865" w:name="Tc_ClmSj8rU-U-QD68N_Cpd2A_5_8"/>
      <w:bookmarkStart w:id="866" w:name="Tc_9SQ431FYcEKUUuhoghCALA_5_5"/>
      <w:bookmarkStart w:id="867" w:name="Tc_feNMzuBqIE2n9G7oEIda-g_5_2"/>
      <w:bookmarkStart w:id="868" w:name="Tc_VW3Bznz1IUGCuDSrJ-WPiA_5_0"/>
      <w:bookmarkStart w:id="869" w:name="Tc_AM39DR3o2USzkn12PvTzDA_4_11"/>
      <w:bookmarkStart w:id="870" w:name="Tc_CF0-yB9LEka9OUQhE1c2OA_4_8"/>
      <w:bookmarkStart w:id="871" w:name="Tc_64fr63UXuEeTQPrYaJNsaw_4_5"/>
      <w:bookmarkStart w:id="872" w:name="Tc_7Jtwl2hPQEWWuwAKI1YLyA_4_2"/>
      <w:bookmarkStart w:id="873" w:name="Tc_Z0LOEt1O8EWysfqTVnpCVw_3_11"/>
      <w:bookmarkStart w:id="874" w:name="Tc_BnqU_krQF0Cvydhb09o46A_3_8"/>
      <w:bookmarkStart w:id="875" w:name="Tc_bwXMY-jSpUmpLLCGOQGdLA_3_5"/>
      <w:bookmarkStart w:id="876" w:name="Tc_jp178G-5OUaglfnq-bqCew_3_2"/>
      <w:bookmarkStart w:id="877" w:name="Tc_7a6CC_Szsk6EBWgrQ9Q-dA_2_8"/>
      <w:bookmarkStart w:id="878" w:name="Tc_QeWPfwZGuEOUE1QsT8a4_g_2_5"/>
      <w:bookmarkStart w:id="879" w:name="Tc_mkrH-evZaEGGu76X_Al-vg_1_2"/>
      <w:bookmarkStart w:id="880" w:name="_0c927464_7784_4845_9a92_7d2993ee0c7e"/>
      <w:bookmarkStart w:id="881" w:name="Tc_xYpDkDzPGEeSZlos1Foz4A_7_11"/>
      <w:bookmarkStart w:id="882" w:name="Tc_fEThkeIS9k-ffWbpKXTq3A_7_8"/>
      <w:bookmarkStart w:id="883" w:name="Tc_wNOHfRNkSUuqcq3K926LNw_7_5"/>
      <w:bookmarkStart w:id="884" w:name="Tc_EsuV5Tr_DEqDaoBESFqmCQ_7_2"/>
      <w:bookmarkStart w:id="885" w:name="Tc_-nkDy48UEkirJxvXaHmtqA_6_6"/>
      <w:bookmarkStart w:id="886" w:name="Tc_lrD2cCgeKEWm0GApDzshnQ_6_0"/>
      <w:bookmarkStart w:id="887" w:name="Tc_YGL93GFGRkGSbtKv-WpmEw_5_11"/>
      <w:bookmarkStart w:id="888" w:name="Tc_Teg5ffcc7U-NHTA1jM6PzQ_5_8"/>
      <w:bookmarkStart w:id="889" w:name="Tc_yP78esopJUWs7J5QEr3_VA_5_5"/>
      <w:bookmarkStart w:id="890" w:name="Tc_G6Kc9yPuKkWc_cVAMgKpRw_5_2"/>
      <w:bookmarkStart w:id="891" w:name="Tc_aF1MPPih502J8eG_nKLSTQ_5_0"/>
      <w:bookmarkStart w:id="892" w:name="Tc_uRzZSBWjoUa61jPD5vJKpA_4_11"/>
      <w:bookmarkStart w:id="893" w:name="Tc_i7xvTMKc20GCSHRnIStSPg_4_8"/>
      <w:bookmarkStart w:id="894" w:name="Tc_IE_UbkKxyUyrYseZYV_GCg_4_5"/>
      <w:bookmarkStart w:id="895" w:name="Tc_VzOFvIkdjk-wwK9q7MCLqQ_4_2"/>
      <w:bookmarkStart w:id="896" w:name="Tc_I71bZ41aKkuNRlmGK4M0HA_3_11"/>
      <w:bookmarkStart w:id="897" w:name="Tc_Z0fmkPzZEUyDih9ormgOEg_3_8"/>
      <w:bookmarkStart w:id="898" w:name="Tc_IdCAXaN4FESsW57FZMlAXA_3_5"/>
      <w:bookmarkStart w:id="899" w:name="Tc_JmNeljs42kC3eP_HeMHd5Q_3_2"/>
      <w:bookmarkStart w:id="900" w:name="Tc_nudc5ZYahECLHwSBcjXlGg_2_8"/>
      <w:bookmarkStart w:id="901" w:name="Tc_kRnRpYkCB069P7PkHCVs4g_2_5"/>
      <w:bookmarkStart w:id="902" w:name="Tc_CMQExYT6rECC5D8j_ILy7Q_1_2"/>
      <w:bookmarkStart w:id="903" w:name="_556044ce_7c46_4fa9_bb4b_38bae74c6d7d"/>
      <w:bookmarkStart w:id="904" w:name="Tc_qAKWsWTleUCIJ7cZHqnwzg_7_11"/>
      <w:bookmarkStart w:id="905" w:name="Tc_TLleU1YrHUW7fKRfrwfUEw_7_9"/>
      <w:bookmarkStart w:id="906" w:name="Tc_kvZQC6Equ0yWE9uNYg7tFA_7_8"/>
      <w:bookmarkStart w:id="907" w:name="Tc_sJ-jEOaKs06ZQNe_3DNGSw_7_5"/>
      <w:bookmarkStart w:id="908" w:name="Tc_S5Rg9F7L5E6Rz5S-FQqEgg_7_2"/>
      <w:bookmarkStart w:id="909" w:name="Tc_nphbl14DrEaWIrTxilWzFA_6_9"/>
      <w:bookmarkStart w:id="910" w:name="Tc_-fvD4CDZ2UqJy4UV7nVUcA_6_3"/>
      <w:bookmarkStart w:id="911" w:name="Tc_WWFmgHAP3U2eI8-qnGv7-w_6_0"/>
      <w:bookmarkStart w:id="912" w:name="Tc_U3tDhhuQzEOaPatEb281FA_5_11"/>
      <w:bookmarkStart w:id="913" w:name="Tc_z72xwUVhLkKMnv-XsI-r4w_5_9"/>
      <w:bookmarkStart w:id="914" w:name="Tc_MiyqRtP_rkaBZploP53gOA_5_8"/>
      <w:bookmarkStart w:id="915" w:name="Tc_a4HGsMqK0UytK4ILH-EvKg_5_6"/>
      <w:bookmarkStart w:id="916" w:name="Tc_wgZK67F6jECeiS3uf-Z1GA_5_5"/>
      <w:bookmarkStart w:id="917" w:name="Tc_6Hyjy7MXGkK6SlAiRnpH0Q_5_2"/>
      <w:bookmarkStart w:id="918" w:name="Tc_2vzgCqctYUiNLP1dOWcq3w_5_0"/>
      <w:bookmarkStart w:id="919" w:name="Tc_XyNiCf1lkUSXj7xfdU7Waw_4_0"/>
      <w:bookmarkStart w:id="920" w:name="Tc_tmUXF3-7AUm9R7PXSsYmGg_3_11"/>
      <w:bookmarkStart w:id="921" w:name="Tc_IZ54bfAtg02mzUnd1bYd8g_3_8"/>
      <w:bookmarkStart w:id="922" w:name="Tc_ndE4R1jq9EKLl9mKLE2X8w_3_5"/>
      <w:bookmarkStart w:id="923" w:name="Tc_WL0iEPBxjkel2qbkl2SfOA_3_2"/>
      <w:bookmarkStart w:id="924" w:name="Tc_-gvldefHu0KhT1P0c_1IRw_2_11"/>
      <w:bookmarkStart w:id="925" w:name="Tc_fAS_sBIrnEuodaXNIvVrWQ_2_2"/>
      <w:bookmarkStart w:id="926" w:name="Tc_h-UQ5lr0xkuhX-Gh0RXP-w_1_2"/>
      <w:bookmarkStart w:id="927" w:name="_5c1dd3ec_1269_4ec7_bcb1_75242d62396c"/>
      <w:bookmarkStart w:id="928" w:name="Tc_jPEDqZ7j0EOsVBAl8gTHyw_7_11"/>
      <w:bookmarkStart w:id="929" w:name="Tc_4_ZfK2b8DUS8iN6kIqZRVw_7_9"/>
      <w:bookmarkStart w:id="930" w:name="Tc_BDH0dGyxLUaxFhXbc7qaNA_7_8"/>
      <w:bookmarkStart w:id="931" w:name="Tc_LUZTT_slMU6aq6P50dXERA_7_5"/>
      <w:bookmarkStart w:id="932" w:name="Tc_jCGvEY8I50Gx2jy3tI-LHg_7_2"/>
      <w:bookmarkStart w:id="933" w:name="Tc_BUEJzrM9_kmBURIjC5LPyg_6_9"/>
      <w:bookmarkStart w:id="934" w:name="Tc_w0L_Ob6jAkKTE7dPSuyPjw_6_3"/>
      <w:bookmarkStart w:id="935" w:name="Tc_8o47U-YTO0m5PjgGfK0c8Q_6_0"/>
      <w:bookmarkStart w:id="936" w:name="Tc_gUoZUCoEBUmD9CTnnnVUHQ_5_11"/>
      <w:bookmarkStart w:id="937" w:name="Tc_nT-1GCJxaUSCUD1oyIEt-Q_5_9"/>
      <w:bookmarkStart w:id="938" w:name="Tc_Uvwv1uNIikSPDelK-KUEbA_5_8"/>
      <w:bookmarkStart w:id="939" w:name="Tc_x2w6wiVnnkGMPM6AHMEeGg_5_6"/>
      <w:bookmarkStart w:id="940" w:name="Tc_z96Jc2RJm0OLY5_ZA-DDsA_5_5"/>
      <w:bookmarkStart w:id="941" w:name="Tc_KMG9wZIN2USY545fdVYNQg_5_2"/>
      <w:bookmarkStart w:id="942" w:name="Tc_TWlyTjpWiUCO57s51UTLtQ_5_0"/>
      <w:bookmarkStart w:id="943" w:name="Tc_79WnHb1jWUSr-J4JbT9mdQ_4_0"/>
      <w:bookmarkStart w:id="944" w:name="Tc_QloL6qTMzEG1ubTcJOYLZA_3_11"/>
      <w:bookmarkStart w:id="945" w:name="Tc_WXPdFa7N80GFgF6RQQ43FA_3_8"/>
      <w:bookmarkStart w:id="946" w:name="Tc_xIHZJ11ShU6XVg03pDTCmQ_3_5"/>
      <w:bookmarkStart w:id="947" w:name="Tc_auhrkRbBrkWboay7iPMHHw_3_2"/>
      <w:bookmarkStart w:id="948" w:name="Tc_krZWj26cp0OB5VfUlm2JdQ_2_11"/>
      <w:bookmarkStart w:id="949" w:name="Tc_Zq-JliZyNEO3Piut3UjiBg_2_2"/>
      <w:bookmarkStart w:id="950" w:name="Tc_VekGKvmB_0OPLsNFOFOVYA_1_2"/>
      <w:bookmarkStart w:id="951" w:name="_b9d6e4c9_0f48_496a_88cd_6f7625fbc35f"/>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3—Unobservable inputs that reflect the Company’s own assumptions about the assumptions market participants would use in pricing the asset or liability</w:t>
            </w:r>
          </w:p>
        </w:tc>
      </w:tr>
    </w:tbl>
    <w:p>
      <w:pPr>
        <w:pStyle w:val="TextBody"/>
        <w:bidi w:val="0"/>
        <w:spacing w:lineRule="auto" w:line="285" w:before="0" w:after="0"/>
        <w:ind w:left="72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have been no transfers of assets and liabilities between levels of hierarchy.</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tables present information as of June 30, 2026 and December 31, 2025 about the Company’s assets that are measured at fair value on a recurring basis and indicate the level of the fair value hierarchy the Company utilized to determine such fair values (in thousands):</w:t>
      </w:r>
    </w:p>
    <w:p>
      <w:pPr>
        <w:pStyle w:val="TextBody"/>
        <w:bidi w:val="0"/>
        <w:spacing w:lineRule="auto" w:line="285" w:before="0" w:after="0"/>
        <w:ind w:left="0" w:right="0" w:hanging="0"/>
        <w:jc w:val="left"/>
        <w:rPr/>
      </w:pPr>
      <w:r>
        <w:rPr/>
        <w:t>​</w:t>
      </w:r>
    </w:p>
    <w:tbl>
      <w:tblPr>
        <w:tblW w:w="6971" w:type="dxa"/>
        <w:jc w:val="left"/>
        <w:tblInd w:w="0" w:type="dxa"/>
        <w:tblLayout w:type="fixed"/>
        <w:tblCellMar>
          <w:top w:w="0" w:type="dxa"/>
          <w:left w:w="0" w:type="dxa"/>
          <w:bottom w:w="0" w:type="dxa"/>
          <w:right w:w="0" w:type="dxa"/>
        </w:tblCellMar>
      </w:tblPr>
      <w:tblGrid>
        <w:gridCol w:w="1861"/>
        <w:gridCol w:w="346"/>
        <w:gridCol w:w="211"/>
        <w:gridCol w:w="676"/>
        <w:gridCol w:w="346"/>
        <w:gridCol w:w="211"/>
        <w:gridCol w:w="781"/>
        <w:gridCol w:w="346"/>
        <w:gridCol w:w="283"/>
        <w:gridCol w:w="467"/>
        <w:gridCol w:w="346"/>
        <w:gridCol w:w="211"/>
        <w:gridCol w:w="886"/>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181735" cy="175260"/>
                      <wp:effectExtent l="0" t="0" r="0" b="0"/>
                      <wp:wrapNone/>
                      <wp:docPr id="111" name="Frame111"/>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219710" cy="175260"/>
                      <wp:effectExtent l="0" t="0" r="0" b="0"/>
                      <wp:wrapNone/>
                      <wp:docPr id="112" name="Frame1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33985" cy="175260"/>
                      <wp:effectExtent l="0" t="0" r="0" b="0"/>
                      <wp:wrapNone/>
                      <wp:docPr id="113" name="Frame1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429260" cy="175260"/>
                      <wp:effectExtent l="0" t="0" r="0" b="0"/>
                      <wp:wrapNone/>
                      <wp:docPr id="114" name="Frame11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219710" cy="175260"/>
                      <wp:effectExtent l="0" t="0" r="0" b="0"/>
                      <wp:wrapNone/>
                      <wp:docPr id="115" name="Frame11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16" name="Frame1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495935" cy="175260"/>
                      <wp:effectExtent l="0" t="0" r="0" b="0"/>
                      <wp:wrapNone/>
                      <wp:docPr id="117" name="Frame117"/>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219710" cy="175260"/>
                      <wp:effectExtent l="0" t="0" r="0" b="0"/>
                      <wp:wrapNone/>
                      <wp:docPr id="118" name="Frame1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79705" cy="175260"/>
                      <wp:effectExtent l="0" t="0" r="0" b="0"/>
                      <wp:wrapNone/>
                      <wp:docPr id="119" name="Frame119"/>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296545" cy="175260"/>
                      <wp:effectExtent l="0" t="0" r="0" b="0"/>
                      <wp:wrapNone/>
                      <wp:docPr id="120" name="Frame120"/>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19710" cy="175260"/>
                      <wp:effectExtent l="0" t="0" r="0" b="0"/>
                      <wp:wrapNone/>
                      <wp:docPr id="121" name="Frame1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562610" cy="175260"/>
                      <wp:effectExtent l="0" t="0" r="0" b="0"/>
                      <wp:wrapNone/>
                      <wp:docPr id="123" name="Frame12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764"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32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rPr/>
            </w:pPr>
            <w:r>
              <w:rPr/>
              <w:t>  ​ ​ ​</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3" w:type="dxa"/>
            <w:tcBorders/>
            <w:shd w:fill="CCEEFF" w:val="clear"/>
            <w:vAlign w:val="center"/>
          </w:tcPr>
          <w:p>
            <w:pPr>
              <w:pStyle w:val="TableContents"/>
              <w:bidi w:val="0"/>
              <w:spacing w:lineRule="auto" w:line="285" w:before="0" w:after="0"/>
              <w:ind w:left="0" w:right="0" w:hanging="0"/>
              <w:jc w:val="left"/>
              <w:rPr/>
            </w:pPr>
            <w:r>
              <w:rPr/>
              <w:t>​</w:t>
            </w:r>
          </w:p>
        </w:tc>
        <w:tc>
          <w:tcPr>
            <w:tcW w:w="46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886" w:type="dxa"/>
            <w:tcBorders/>
            <w:shd w:fill="CCEEFF" w:val="clear"/>
            <w:vAlign w:val="center"/>
          </w:tcPr>
          <w:p>
            <w:pPr>
              <w:pStyle w:val="TableContents"/>
              <w:bidi w:val="0"/>
              <w:spacing w:lineRule="auto" w:line="285" w:before="0" w:after="0"/>
              <w:ind w:left="0" w:right="0" w:hanging="0"/>
              <w:jc w:val="right"/>
              <w:rPr/>
            </w:pPr>
            <w:r>
              <w:rPr/>
              <w:t>  ​</w:t>
            </w:r>
          </w:p>
        </w:tc>
      </w:tr>
      <w:tr>
        <w:trP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18,226</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196,323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196,323</w:t>
            </w:r>
          </w:p>
        </w:tc>
      </w:tr>
      <w:tr>
        <w:trPr/>
        <w:tc>
          <w:tcPr>
            <w:tcW w:w="18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18,226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196,323</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214,549</w:t>
            </w:r>
          </w:p>
        </w:tc>
      </w:tr>
    </w:tbl>
    <w:p>
      <w:pPr>
        <w:pStyle w:val="TextBody"/>
        <w:bidi w:val="0"/>
        <w:spacing w:lineRule="auto" w:line="285" w:before="0" w:after="0"/>
        <w:ind w:left="0" w:right="0" w:hanging="0"/>
        <w:jc w:val="left"/>
        <w:rPr/>
      </w:pPr>
      <w:r>
        <w:rPr/>
        <w:t>​</w:t>
      </w:r>
    </w:p>
    <w:tbl>
      <w:tblPr>
        <w:tblW w:w="6656" w:type="dxa"/>
        <w:jc w:val="left"/>
        <w:tblInd w:w="0" w:type="dxa"/>
        <w:tblLayout w:type="fixed"/>
        <w:tblCellMar>
          <w:top w:w="0" w:type="dxa"/>
          <w:left w:w="0" w:type="dxa"/>
          <w:bottom w:w="0" w:type="dxa"/>
          <w:right w:w="0" w:type="dxa"/>
        </w:tblCellMar>
      </w:tblPr>
      <w:tblGrid>
        <w:gridCol w:w="1861"/>
        <w:gridCol w:w="346"/>
        <w:gridCol w:w="211"/>
        <w:gridCol w:w="571"/>
        <w:gridCol w:w="346"/>
        <w:gridCol w:w="211"/>
        <w:gridCol w:w="676"/>
        <w:gridCol w:w="346"/>
        <w:gridCol w:w="283"/>
        <w:gridCol w:w="467"/>
        <w:gridCol w:w="346"/>
        <w:gridCol w:w="211"/>
        <w:gridCol w:w="781"/>
      </w:tblGrid>
      <w:tr>
        <w:trPr/>
        <w:tc>
          <w:tcPr>
            <w:tcW w:w="18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181735" cy="175260"/>
                      <wp:effectExtent l="0" t="0" r="0" b="0"/>
                      <wp:wrapNone/>
                      <wp:docPr id="124" name="Frame124"/>
                      <a:graphic xmlns:a="http://schemas.openxmlformats.org/drawingml/2006/main">
                        <a:graphicData uri="http://schemas.microsoft.com/office/word/2010/wordprocessingShape">
                          <wps:wsp>
                            <wps:cNvSpPr txBox="1"/>
                            <wps:spPr>
                              <a:xfrm>
                                <a:off x="0" y="0"/>
                                <a:ext cx="11817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19710" cy="175260"/>
                      <wp:effectExtent l="0" t="0" r="0" b="0"/>
                      <wp:wrapNone/>
                      <wp:docPr id="125" name="Frame12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2585" cy="175260"/>
                      <wp:effectExtent l="0" t="0" r="0" b="0"/>
                      <wp:wrapNone/>
                      <wp:docPr id="127" name="Frame12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19710" cy="175260"/>
                      <wp:effectExtent l="0" t="0" r="0" b="0"/>
                      <wp:wrapNone/>
                      <wp:docPr id="128" name="Frame12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133985" cy="175260"/>
                      <wp:effectExtent l="0" t="0" r="0" b="0"/>
                      <wp:wrapNone/>
                      <wp:docPr id="129" name="Frame12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429260" cy="175260"/>
                      <wp:effectExtent l="0" t="0" r="0" b="0"/>
                      <wp:wrapNone/>
                      <wp:docPr id="130" name="Frame13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19710" cy="175260"/>
                      <wp:effectExtent l="0" t="0" r="0" b="0"/>
                      <wp:wrapNone/>
                      <wp:docPr id="131" name="Frame13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179705" cy="175260"/>
                      <wp:effectExtent l="0" t="0" r="0" b="0"/>
                      <wp:wrapNone/>
                      <wp:docPr id="132" name="Frame132"/>
                      <a:graphic xmlns:a="http://schemas.openxmlformats.org/drawingml/2006/main">
                        <a:graphicData uri="http://schemas.microsoft.com/office/word/2010/wordprocessingShape">
                          <wps:wsp>
                            <wps:cNvSpPr txBox="1"/>
                            <wps:spPr>
                              <a:xfrm>
                                <a:off x="0" y="0"/>
                                <a:ext cx="17970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4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96545" cy="175260"/>
                      <wp:effectExtent l="0" t="0" r="0" b="0"/>
                      <wp:wrapNone/>
                      <wp:docPr id="133" name="Frame133"/>
                      <a:graphic xmlns:a="http://schemas.openxmlformats.org/drawingml/2006/main">
                        <a:graphicData uri="http://schemas.microsoft.com/office/word/2010/wordprocessingShape">
                          <wps:wsp>
                            <wps:cNvSpPr txBox="1"/>
                            <wps:spPr>
                              <a:xfrm>
                                <a:off x="0" y="0"/>
                                <a:ext cx="296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19710" cy="175260"/>
                      <wp:effectExtent l="0" t="0" r="0" b="0"/>
                      <wp:wrapNone/>
                      <wp:docPr id="134" name="Frame1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133985" cy="175260"/>
                      <wp:effectExtent l="0" t="0" r="0" b="0"/>
                      <wp:wrapNone/>
                      <wp:docPr id="135" name="Frame1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95935" cy="175260"/>
                      <wp:effectExtent l="0" t="0" r="0" b="0"/>
                      <wp:wrapNone/>
                      <wp:docPr id="136" name="Frame13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44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111"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 Value Measured Using</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86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346" w:type="dxa"/>
            <w:tcBorders/>
            <w:vAlign w:val="center"/>
          </w:tcPr>
          <w:p>
            <w:pPr>
              <w:pStyle w:val="TableContents"/>
              <w:bidi w:val="0"/>
              <w:spacing w:lineRule="auto" w:line="285" w:before="0" w:after="0"/>
              <w:ind w:left="0" w:right="0" w:hanging="0"/>
              <w:jc w:val="left"/>
              <w:rPr/>
            </w:pPr>
            <w:r>
              <w:rPr/>
              <w:t>  ​ ​ ​</w:t>
            </w:r>
          </w:p>
        </w:tc>
        <w:tc>
          <w:tcPr>
            <w:tcW w:w="75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Balance</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7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7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83" w:type="dxa"/>
            <w:tcBorders/>
            <w:shd w:fill="CCEEFF" w:val="clear"/>
            <w:vAlign w:val="center"/>
          </w:tcPr>
          <w:p>
            <w:pPr>
              <w:pStyle w:val="TableContents"/>
              <w:bidi w:val="0"/>
              <w:spacing w:lineRule="auto" w:line="285" w:before="0" w:after="0"/>
              <w:ind w:left="0" w:right="0" w:hanging="0"/>
              <w:jc w:val="left"/>
              <w:rPr/>
            </w:pPr>
            <w:r>
              <w:rPr/>
              <w:t>​</w:t>
            </w:r>
          </w:p>
        </w:tc>
        <w:tc>
          <w:tcPr>
            <w:tcW w:w="467"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81" w:type="dxa"/>
            <w:tcBorders/>
            <w:shd w:fill="CCEEFF" w:val="clear"/>
            <w:vAlign w:val="center"/>
          </w:tcPr>
          <w:p>
            <w:pPr>
              <w:pStyle w:val="TableContents"/>
              <w:bidi w:val="0"/>
              <w:spacing w:lineRule="auto" w:line="285" w:before="0" w:after="0"/>
              <w:ind w:left="0" w:right="0" w:hanging="0"/>
              <w:jc w:val="right"/>
              <w:rPr/>
            </w:pPr>
            <w:r>
              <w:rPr/>
              <w:t>  ​</w:t>
            </w:r>
          </w:p>
        </w:tc>
      </w:tr>
      <w:tr>
        <w:trPr/>
        <w:tc>
          <w:tcPr>
            <w:tcW w:w="186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Cash equivalents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r>
      <w:tr>
        <w:trPr/>
        <w:tc>
          <w:tcPr>
            <w:tcW w:w="1861"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Marketable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3"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467"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r>
      <w:tr>
        <w:trPr/>
        <w:tc>
          <w:tcPr>
            <w:tcW w:w="18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4,163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52,174</w:t>
            </w:r>
          </w:p>
        </w:tc>
        <w:tc>
          <w:tcPr>
            <w:tcW w:w="346" w:type="dxa"/>
            <w:tcBorders/>
            <w:vAlign w:val="center"/>
          </w:tcPr>
          <w:p>
            <w:pPr>
              <w:pStyle w:val="TableContents"/>
              <w:bidi w:val="0"/>
              <w:spacing w:lineRule="auto" w:line="285" w:before="0" w:after="0"/>
              <w:ind w:left="0" w:right="0" w:hanging="0"/>
              <w:jc w:val="left"/>
              <w:rPr/>
            </w:pPr>
            <w:r>
              <w:rPr/>
              <w:t>​</w:t>
            </w:r>
          </w:p>
        </w:tc>
        <w:tc>
          <w:tcPr>
            <w:tcW w:w="283"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467"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56,337</w:t>
            </w:r>
          </w:p>
        </w:tc>
      </w:tr>
    </w:tbl>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and December 31, 2025, the fair value of available for sale marketable securities by type of security were as follows (in thousands):</w:t>
      </w:r>
    </w:p>
    <w:p>
      <w:pPr>
        <w:pStyle w:val="TextBody"/>
        <w:bidi w:val="0"/>
        <w:spacing w:lineRule="auto" w:line="285" w:before="0" w:after="0"/>
        <w:ind w:left="0" w:right="0" w:firstLine="720"/>
        <w:jc w:val="left"/>
        <w:rPr/>
      </w:pPr>
      <w:r>
        <w:rPr/>
        <w:t>​</w:t>
      </w:r>
    </w:p>
    <w:tbl>
      <w:tblPr>
        <w:tblW w:w="8186" w:type="dxa"/>
        <w:jc w:val="left"/>
        <w:tblInd w:w="0" w:type="dxa"/>
        <w:tblLayout w:type="fixed"/>
        <w:tblCellMar>
          <w:top w:w="0" w:type="dxa"/>
          <w:left w:w="0" w:type="dxa"/>
          <w:bottom w:w="0" w:type="dxa"/>
          <w:right w:w="0" w:type="dxa"/>
        </w:tblCellMar>
      </w:tblPr>
      <w:tblGrid>
        <w:gridCol w:w="2941"/>
        <w:gridCol w:w="346"/>
        <w:gridCol w:w="211"/>
        <w:gridCol w:w="781"/>
        <w:gridCol w:w="346"/>
        <w:gridCol w:w="335"/>
        <w:gridCol w:w="551"/>
        <w:gridCol w:w="346"/>
        <w:gridCol w:w="270"/>
        <w:gridCol w:w="616"/>
        <w:gridCol w:w="346"/>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867535" cy="175260"/>
                      <wp:effectExtent l="0" t="0" r="0" b="0"/>
                      <wp:wrapNone/>
                      <wp:docPr id="137" name="Frame137"/>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219710" cy="175260"/>
                      <wp:effectExtent l="0" t="0" r="0" b="0"/>
                      <wp:wrapNone/>
                      <wp:docPr id="138" name="Frame13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133985" cy="175260"/>
                      <wp:effectExtent l="0" t="0" r="0" b="0"/>
                      <wp:wrapNone/>
                      <wp:docPr id="139" name="Frame1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495935" cy="175260"/>
                      <wp:effectExtent l="0" t="0" r="0" b="0"/>
                      <wp:wrapNone/>
                      <wp:docPr id="140" name="Frame14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19710" cy="175260"/>
                      <wp:effectExtent l="0" t="0" r="0" b="0"/>
                      <wp:wrapNone/>
                      <wp:docPr id="141" name="Frame14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12725" cy="175260"/>
                      <wp:effectExtent l="0" t="0" r="0" b="0"/>
                      <wp:wrapNone/>
                      <wp:docPr id="142" name="Frame142"/>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349885" cy="175260"/>
                      <wp:effectExtent l="0" t="0" r="0" b="0"/>
                      <wp:wrapNone/>
                      <wp:docPr id="143" name="Frame143"/>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19710" cy="175260"/>
                      <wp:effectExtent l="0" t="0" r="0" b="0"/>
                      <wp:wrapNone/>
                      <wp:docPr id="144" name="Frame14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7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71450" cy="175260"/>
                      <wp:effectExtent l="0" t="0" r="0" b="0"/>
                      <wp:wrapNone/>
                      <wp:docPr id="145" name="Frame145"/>
                      <a:graphic xmlns:a="http://schemas.openxmlformats.org/drawingml/2006/main">
                        <a:graphicData uri="http://schemas.microsoft.com/office/word/2010/wordprocessingShape">
                          <wps:wsp>
                            <wps:cNvSpPr txBox="1"/>
                            <wps:spPr>
                              <a:xfrm>
                                <a:off x="0" y="0"/>
                                <a:ext cx="1714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391160" cy="175260"/>
                      <wp:effectExtent l="0" t="0" r="0" b="0"/>
                      <wp:wrapNone/>
                      <wp:docPr id="146" name="Frame146"/>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19710" cy="175260"/>
                      <wp:effectExtent l="0" t="0" r="0" b="0"/>
                      <wp:wrapNone/>
                      <wp:docPr id="147" name="Frame14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562610" cy="175260"/>
                      <wp:effectExtent l="0" t="0" r="0" b="0"/>
                      <wp:wrapNone/>
                      <wp:docPr id="149" name="Frame149"/>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89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886" w:type="dxa"/>
            <w:tcBorders/>
            <w:vAlign w:val="center"/>
          </w:tcPr>
          <w:p>
            <w:pPr>
              <w:pStyle w:val="TableContents"/>
              <w:bidi w:val="0"/>
              <w:spacing w:lineRule="auto" w:line="285" w:before="0" w:after="0"/>
              <w:ind w:left="0" w:right="0" w:hanging="0"/>
              <w:jc w:val="center"/>
              <w:rPr/>
            </w:pPr>
            <w:r>
              <w:rPr/>
              <w:t>​</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rPr/>
            </w:pPr>
            <w:r>
              <w:rPr/>
              <w:t>​</w:t>
            </w:r>
          </w:p>
        </w:tc>
        <w:tc>
          <w:tcPr>
            <w:tcW w:w="109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170,821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170,234</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26,260</w:t>
            </w:r>
          </w:p>
        </w:tc>
        <w:tc>
          <w:tcPr>
            <w:tcW w:w="346" w:type="dxa"/>
            <w:tcBorders/>
            <w:vAlign w:val="center"/>
          </w:tcPr>
          <w:p>
            <w:pPr>
              <w:pStyle w:val="TableContents"/>
              <w:bidi w:val="0"/>
              <w:spacing w:lineRule="auto" w:line="285"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70"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26,089</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197,081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196,323</w:t>
            </w:r>
          </w:p>
        </w:tc>
      </w:tr>
    </w:tbl>
    <w:p>
      <w:pPr>
        <w:pStyle w:val="TextBody"/>
        <w:bidi w:val="0"/>
        <w:spacing w:lineRule="auto" w:line="285" w:before="0" w:after="0"/>
        <w:ind w:left="0" w:right="0" w:hanging="0"/>
        <w:jc w:val="left"/>
        <w:rPr/>
      </w:pPr>
      <w:r>
        <w:rPr/>
        <w:t>​</w:t>
      </w:r>
    </w:p>
    <w:tbl>
      <w:tblPr>
        <w:tblW w:w="7976" w:type="dxa"/>
        <w:jc w:val="left"/>
        <w:tblInd w:w="0" w:type="dxa"/>
        <w:tblLayout w:type="fixed"/>
        <w:tblCellMar>
          <w:top w:w="0" w:type="dxa"/>
          <w:left w:w="0" w:type="dxa"/>
          <w:bottom w:w="0" w:type="dxa"/>
          <w:right w:w="0" w:type="dxa"/>
        </w:tblCellMar>
      </w:tblPr>
      <w:tblGrid>
        <w:gridCol w:w="2941"/>
        <w:gridCol w:w="346"/>
        <w:gridCol w:w="211"/>
        <w:gridCol w:w="676"/>
        <w:gridCol w:w="346"/>
        <w:gridCol w:w="354"/>
        <w:gridCol w:w="532"/>
        <w:gridCol w:w="346"/>
        <w:gridCol w:w="335"/>
        <w:gridCol w:w="551"/>
        <w:gridCol w:w="346"/>
        <w:gridCol w:w="211"/>
        <w:gridCol w:w="7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867535" cy="175260"/>
                      <wp:effectExtent l="0" t="0" r="0" b="0"/>
                      <wp:wrapNone/>
                      <wp:docPr id="150" name="Frame15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9710" cy="175260"/>
                      <wp:effectExtent l="0" t="0" r="0" b="0"/>
                      <wp:wrapNone/>
                      <wp:docPr id="151" name="Frame15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133985" cy="175260"/>
                      <wp:effectExtent l="0" t="0" r="0" b="0"/>
                      <wp:wrapNone/>
                      <wp:docPr id="152" name="Frame1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429260" cy="175260"/>
                      <wp:effectExtent l="0" t="0" r="0" b="0"/>
                      <wp:wrapNone/>
                      <wp:docPr id="153" name="Frame15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19710" cy="175260"/>
                      <wp:effectExtent l="0" t="0" r="0" b="0"/>
                      <wp:wrapNone/>
                      <wp:docPr id="154" name="Frame15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24790" cy="175260"/>
                      <wp:effectExtent l="0" t="0" r="0" b="0"/>
                      <wp:wrapNone/>
                      <wp:docPr id="155" name="Frame155"/>
                      <a:graphic xmlns:a="http://schemas.openxmlformats.org/drawingml/2006/main">
                        <a:graphicData uri="http://schemas.microsoft.com/office/word/2010/wordprocessingShape">
                          <wps:wsp>
                            <wps:cNvSpPr txBox="1"/>
                            <wps:spPr>
                              <a:xfrm>
                                <a:off x="0" y="0"/>
                                <a:ext cx="224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337820" cy="175260"/>
                      <wp:effectExtent l="0" t="0" r="0" b="0"/>
                      <wp:wrapNone/>
                      <wp:docPr id="156" name="Frame156"/>
                      <a:graphic xmlns:a="http://schemas.openxmlformats.org/drawingml/2006/main">
                        <a:graphicData uri="http://schemas.microsoft.com/office/word/2010/wordprocessingShape">
                          <wps:wsp>
                            <wps:cNvSpPr txBox="1"/>
                            <wps:spPr>
                              <a:xfrm>
                                <a:off x="0" y="0"/>
                                <a:ext cx="337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19710" cy="175260"/>
                      <wp:effectExtent l="0" t="0" r="0" b="0"/>
                      <wp:wrapNone/>
                      <wp:docPr id="157" name="Frame15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12725" cy="175260"/>
                      <wp:effectExtent l="0" t="0" r="0" b="0"/>
                      <wp:wrapNone/>
                      <wp:docPr id="158" name="Frame158"/>
                      <a:graphic xmlns:a="http://schemas.openxmlformats.org/drawingml/2006/main">
                        <a:graphicData uri="http://schemas.microsoft.com/office/word/2010/wordprocessingShape">
                          <wps:wsp>
                            <wps:cNvSpPr txBox="1"/>
                            <wps:spPr>
                              <a:xfrm>
                                <a:off x="0" y="0"/>
                                <a:ext cx="2127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349885" cy="175260"/>
                      <wp:effectExtent l="0" t="0" r="0" b="0"/>
                      <wp:wrapNone/>
                      <wp:docPr id="159" name="Frame159"/>
                      <a:graphic xmlns:a="http://schemas.openxmlformats.org/drawingml/2006/main">
                        <a:graphicData uri="http://schemas.microsoft.com/office/word/2010/wordprocessingShape">
                          <wps:wsp>
                            <wps:cNvSpPr txBox="1"/>
                            <wps:spPr>
                              <a:xfrm>
                                <a:off x="0" y="0"/>
                                <a:ext cx="3498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19710" cy="175260"/>
                      <wp:effectExtent l="0" t="0" r="0" b="0"/>
                      <wp:wrapNone/>
                      <wp:docPr id="160" name="Frame16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133985" cy="175260"/>
                      <wp:effectExtent l="0" t="0" r="0" b="0"/>
                      <wp:wrapNone/>
                      <wp:docPr id="161" name="Frame16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495935" cy="175260"/>
                      <wp:effectExtent l="0" t="0" r="0" b="0"/>
                      <wp:wrapNone/>
                      <wp:docPr id="162" name="Frame16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4689" w:type="dxa"/>
            <w:gridSpan w:val="11"/>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Gross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center"/>
              <w:rPr/>
            </w:pPr>
            <w:r>
              <w:rPr/>
              <w:t>​</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Amortized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Unrealized</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Fair</w:t>
            </w:r>
          </w:p>
        </w:tc>
      </w:tr>
      <w:tr>
        <w:trPr/>
        <w:tc>
          <w:tcPr>
            <w:tcW w:w="294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Cost</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Gains</w:t>
            </w:r>
          </w:p>
        </w:tc>
        <w:tc>
          <w:tcPr>
            <w:tcW w:w="346" w:type="dxa"/>
            <w:tcBorders/>
            <w:vAlign w:val="center"/>
          </w:tcPr>
          <w:p>
            <w:pPr>
              <w:pStyle w:val="TableContents"/>
              <w:bidi w:val="0"/>
              <w:spacing w:lineRule="auto" w:line="285" w:before="0" w:after="0"/>
              <w:ind w:left="0" w:right="0" w:hanging="0"/>
              <w:jc w:val="left"/>
              <w:rPr/>
            </w:pPr>
            <w:r>
              <w:rPr/>
              <w:t>​</w:t>
            </w:r>
          </w:p>
        </w:tc>
        <w:tc>
          <w:tcPr>
            <w:tcW w:w="88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Losses</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38,622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38,675</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13,489</w:t>
            </w:r>
          </w:p>
        </w:tc>
        <w:tc>
          <w:tcPr>
            <w:tcW w:w="346" w:type="dxa"/>
            <w:tcBorders/>
            <w:vAlign w:val="center"/>
          </w:tcPr>
          <w:p>
            <w:pPr>
              <w:pStyle w:val="TableContents"/>
              <w:bidi w:val="0"/>
              <w:spacing w:lineRule="auto" w:line="285" w:before="0" w:after="0"/>
              <w:ind w:left="0" w:right="0" w:hanging="0"/>
              <w:jc w:val="left"/>
              <w:rPr/>
            </w:pPr>
            <w:r>
              <w:rPr/>
              <w:t>​</w:t>
            </w:r>
          </w:p>
        </w:tc>
        <w:tc>
          <w:tcPr>
            <w:tcW w:w="354"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32"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46" w:type="dxa"/>
            <w:tcBorders/>
            <w:vAlign w:val="center"/>
          </w:tcPr>
          <w:p>
            <w:pPr>
              <w:pStyle w:val="TableContents"/>
              <w:bidi w:val="0"/>
              <w:spacing w:lineRule="auto" w:line="285" w:before="0" w:after="0"/>
              <w:ind w:left="0" w:right="0" w:hanging="0"/>
              <w:jc w:val="left"/>
              <w:rPr/>
            </w:pPr>
            <w:r>
              <w:rPr/>
              <w:t>​</w:t>
            </w:r>
          </w:p>
        </w:tc>
        <w:tc>
          <w:tcPr>
            <w:tcW w:w="33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5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13,499</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52,111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54"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32"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33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5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52,174</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color w:val="EE0000"/>
        </w:rPr>
      </w:pPr>
      <w:bookmarkStart w:id="952" w:name="Tc_ezvkuIn7DEKfbu8lAVGXOQ_6_8"/>
      <w:bookmarkStart w:id="953" w:name="Tc_UIreEHnLJE65qPrUUEBRSw_6_5"/>
      <w:bookmarkStart w:id="954" w:name="Tc_vu9T_YrB502KtShxeOHuhQ_6_2"/>
      <w:bookmarkStart w:id="955" w:name="Tc_nnaQNuStnki2F9IA35Itiw_5_0"/>
      <w:bookmarkStart w:id="956" w:name="Tc_IhWdKYtmik60k0BJIY9CKQ_4_8"/>
      <w:bookmarkStart w:id="957" w:name="Tc_crLOLXHpKUySa75LbFzwNA_4_5"/>
      <w:bookmarkStart w:id="958" w:name="Tc_JL7AGR3zBUesIumMO8pVig_4_2"/>
      <w:bookmarkStart w:id="959" w:name="Tc_lJ2gYtT83k-2nJHyk85ObQ_4_0"/>
      <w:bookmarkStart w:id="960" w:name="Tc_y9IQn3jXa0O9eiNLIZU24w_3_8"/>
      <w:bookmarkStart w:id="961" w:name="Tc_65Zx-tTeDUSjAwy4x3MQcA_3_5"/>
      <w:bookmarkStart w:id="962" w:name="Tc_8k2_Eo3bQke2r49yGel99g_3_2"/>
      <w:bookmarkStart w:id="963" w:name="Tc_TYFEVnKJdkyYmOMYpPqlWw_2_5"/>
      <w:bookmarkStart w:id="964" w:name="Tc_89Nvw3MMrEeZD4ulXmeIkg_1_2"/>
      <w:bookmarkStart w:id="965" w:name="_84c70dbf_3ce3_4eff_8c3d_996edd911d3a"/>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r>
        <w:rPr>
          <w:color w:val="EE0000"/>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all of the Company’s marketable securities are considered available for current operations and the remaining maturity by type of security is as follows (in thousands):</w:t>
      </w:r>
    </w:p>
    <w:p>
      <w:pPr>
        <w:pStyle w:val="TextBody"/>
        <w:bidi w:val="0"/>
        <w:spacing w:lineRule="auto" w:line="285" w:before="0" w:after="0"/>
        <w:ind w:left="0" w:right="0" w:hanging="0"/>
        <w:jc w:val="left"/>
        <w:rPr>
          <w:color w:val="EE0000"/>
        </w:rPr>
      </w:pPr>
      <w:r>
        <w:rPr>
          <w:color w:val="EE0000"/>
        </w:rPr>
        <w:t>​</w:t>
      </w:r>
    </w:p>
    <w:tbl>
      <w:tblPr>
        <w:tblW w:w="6955" w:type="dxa"/>
        <w:jc w:val="left"/>
        <w:tblInd w:w="0" w:type="dxa"/>
        <w:tblLayout w:type="fixed"/>
        <w:tblCellMar>
          <w:top w:w="0" w:type="dxa"/>
          <w:left w:w="0" w:type="dxa"/>
          <w:bottom w:w="0" w:type="dxa"/>
          <w:right w:w="0" w:type="dxa"/>
        </w:tblCellMar>
      </w:tblPr>
      <w:tblGrid>
        <w:gridCol w:w="2941"/>
        <w:gridCol w:w="346"/>
        <w:gridCol w:w="211"/>
        <w:gridCol w:w="781"/>
        <w:gridCol w:w="346"/>
        <w:gridCol w:w="211"/>
        <w:gridCol w:w="781"/>
        <w:gridCol w:w="346"/>
        <w:gridCol w:w="211"/>
        <w:gridCol w:w="781"/>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867535" cy="175260"/>
                      <wp:effectExtent l="0" t="0" r="0" b="0"/>
                      <wp:wrapNone/>
                      <wp:docPr id="163" name="Frame163"/>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219710" cy="175260"/>
                      <wp:effectExtent l="0" t="0" r="0" b="0"/>
                      <wp:wrapNone/>
                      <wp:docPr id="164" name="Frame16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133985" cy="175260"/>
                      <wp:effectExtent l="0" t="0" r="0" b="0"/>
                      <wp:wrapNone/>
                      <wp:docPr id="165" name="Frame16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495935" cy="175260"/>
                      <wp:effectExtent l="0" t="0" r="0" b="0"/>
                      <wp:wrapNone/>
                      <wp:docPr id="166" name="Frame16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19710" cy="175260"/>
                      <wp:effectExtent l="0" t="0" r="0" b="0"/>
                      <wp:wrapNone/>
                      <wp:docPr id="167" name="Frame16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495935" cy="175260"/>
                      <wp:effectExtent l="0" t="0" r="0" b="0"/>
                      <wp:wrapNone/>
                      <wp:docPr id="169" name="Frame16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19710" cy="175260"/>
                      <wp:effectExtent l="0" t="0" r="0" b="0"/>
                      <wp:wrapNone/>
                      <wp:docPr id="170" name="Frame17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133985" cy="175260"/>
                      <wp:effectExtent l="0" t="0" r="0" b="0"/>
                      <wp:wrapNone/>
                      <wp:docPr id="171" name="Frame1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495935" cy="175260"/>
                      <wp:effectExtent l="0" t="0" r="0" b="0"/>
                      <wp:wrapNone/>
                      <wp:docPr id="172" name="Frame172"/>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3668" w:type="dxa"/>
            <w:gridSpan w:val="8"/>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Maturities by Period at Amortized Cost</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9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Less</w:t>
            </w:r>
            <w:r>
              <w:rPr>
                <w:rFonts w:ascii="Times New Roman;Times;serif" w:hAnsi="Times New Roman;Times;serif"/>
                <w:sz w:val="16"/>
              </w:rPr>
              <w:t> </w:t>
            </w:r>
            <w:r>
              <w:rPr>
                <w:rFonts w:ascii="Times New Roman;Times;serif" w:hAnsi="Times New Roman;Times;serif"/>
                <w:b/>
                <w:sz w:val="16"/>
              </w:rPr>
              <w:t>than</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81" w:type="dxa"/>
            <w:tcBorders/>
            <w:vAlign w:val="center"/>
          </w:tcPr>
          <w:p>
            <w:pPr>
              <w:pStyle w:val="TableContents"/>
              <w:bidi w:val="0"/>
              <w:spacing w:lineRule="auto" w:line="285" w:before="0" w:after="0"/>
              <w:ind w:left="0" w:right="0" w:hanging="0"/>
              <w:jc w:val="left"/>
              <w:rPr/>
            </w:pPr>
            <w:r>
              <w:rPr/>
              <w:t>​</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 Year</w:t>
            </w:r>
          </w:p>
        </w:tc>
        <w:tc>
          <w:tcPr>
            <w:tcW w:w="346" w:type="dxa"/>
            <w:tcBorders/>
            <w:vAlign w:val="center"/>
          </w:tcPr>
          <w:p>
            <w:pPr>
              <w:pStyle w:val="TableContents"/>
              <w:bidi w:val="0"/>
              <w:spacing w:lineRule="auto" w:line="285" w:before="0" w:after="0"/>
              <w:ind w:left="0" w:right="0" w:hanging="0"/>
              <w:jc w:val="left"/>
              <w:rPr/>
            </w:pPr>
            <w:r>
              <w:rPr/>
              <w:t>  ​ ​ ​</w:t>
            </w:r>
          </w:p>
        </w:tc>
        <w:tc>
          <w:tcPr>
            <w:tcW w:w="99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1-2 years</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Treasury securities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170,821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98,927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71,894</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U.S. Government agency securities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26,260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7,154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19,106</w:t>
            </w:r>
          </w:p>
        </w:tc>
      </w:tr>
      <w:tr>
        <w:trPr/>
        <w:tc>
          <w:tcPr>
            <w:tcW w:w="2941"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197,081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106,081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91,000</w:t>
            </w:r>
          </w:p>
        </w:tc>
      </w:tr>
    </w:tbl>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sz w:val="20"/>
        </w:rPr>
      </w:pPr>
      <w:bookmarkStart w:id="966" w:name="Tc_n8c8J3novEKAY1t4lepYtw_8_0"/>
      <w:bookmarkStart w:id="967" w:name="Tc_uKxFPB10H0mqDuYccJ_l8g_7_0"/>
      <w:bookmarkStart w:id="968" w:name="Tc_2o7TmrmEQkWJd3D91YFs7A_6_0"/>
      <w:bookmarkStart w:id="969" w:name="Tc_NTrdyGcY3kyWudUCloreZw_5_0"/>
      <w:bookmarkStart w:id="970" w:name="Tc_AMsrTaRO-E-BmVxwnKWJ1Q_4_5"/>
      <w:bookmarkStart w:id="971" w:name="Tc_Iybq9xOppUSnxNLI4Nj3ng_4_2"/>
      <w:bookmarkStart w:id="972" w:name="Tc_9B2YLap3yUOC3gEMwBlDZw_4_0"/>
      <w:bookmarkStart w:id="973" w:name="Tc_Q-NTdUnEnEiFY5LA0wB5tQ_3_2"/>
      <w:bookmarkStart w:id="974" w:name="Tc_yqRRHTga4USDNxwkpSqSzg_2_5"/>
      <w:bookmarkStart w:id="975" w:name="Tc_dHycLXgnqkuE5j2RFxRvVg_2_2"/>
      <w:bookmarkStart w:id="976" w:name="Tc_u1_txggpa0aAbm-ASZ_SsQ_2_0"/>
      <w:bookmarkStart w:id="977" w:name="Tc_u2o3U5HMPUmV8Tsn8FAkGg_1_6"/>
      <w:bookmarkStart w:id="978" w:name="Tc_BMqnMd3q80aeZpPe67MSQg_1_3"/>
      <w:bookmarkStart w:id="979" w:name="_ae9d14fc_4f5a_47a9_9a20_f2c5874c5c62"/>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r>
        <w:rPr>
          <w:rFonts w:ascii="Times New Roman;Times;serif" w:hAnsi="Times New Roman;Times;serif"/>
          <w:b/>
          <w:sz w:val="20"/>
        </w:rPr>
        <w:t>6.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Co. Ltd. (“Angel Pharmaceuticals”) is a corporate venture in the People’s Republic of China designed to develop, manufacture, and commercialize soquelitinib, ciforadenant and mupadolimab compounds for distribution within the countries of China, Taiwan, Macao, and Hong Kong based on intellectual property licenses contributed to Angel Pharmaceuticals by the Company.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June 2026, Angel Pharmaceuticals completed an equity financing, raising approximately $13.4 million, including a $5.0 million investment by the Company. Following the financing, the Company's ownership interest in Angel Pharmaceuticals was approximately 49%, excluding 6% of Angel Pharmaceuticals' equity reserved for issuance under the Angel Pharmaceuticals Employee Stock Ownership Plan (“ESOP”). In connection with the financing, the Company concluded that Angel Pharmaceuticals continues to be a variable interest entity and that the Company is not the primary beneficiary. Accordingly, the Company continues to account for its investment in Angel Pharmaceuticals under the equity method of accounting.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and December 31, 2025, the Company’s ownership interest in Angel Pharmaceuticals was approximately 48.6% and 49.7%, respectively, excluding 6.4% and 7.0%, respectively, of Angel Pharmaceuticals’ equity reserved for issuance under the Angel Pharmaceuticals ESOP. The Company recognized its share of loss in Angel Pharmaceuticals for the total amount of $0.7 million and $1.3 million as loss from equity method investment in the condensed consolidated statement of operations for the three and six months ended June 30, 2026, respectively.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Summary Financial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Summary financial information for Angel Pharmaceuticals is as follows:</w:t>
      </w:r>
    </w:p>
    <w:tbl>
      <w:tblPr>
        <w:tblW w:w="5046" w:type="dxa"/>
        <w:jc w:val="left"/>
        <w:tblInd w:w="0" w:type="dxa"/>
        <w:tblLayout w:type="fixed"/>
        <w:tblCellMar>
          <w:top w:w="0" w:type="dxa"/>
          <w:left w:w="0" w:type="dxa"/>
          <w:bottom w:w="0" w:type="dxa"/>
          <w:right w:w="0" w:type="dxa"/>
        </w:tblCellMar>
      </w:tblPr>
      <w:tblGrid>
        <w:gridCol w:w="1921"/>
        <w:gridCol w:w="346"/>
        <w:gridCol w:w="267"/>
        <w:gridCol w:w="858"/>
        <w:gridCol w:w="109"/>
        <w:gridCol w:w="328"/>
        <w:gridCol w:w="1217"/>
      </w:tblGrid>
      <w:tr>
        <w:trPr/>
        <w:tc>
          <w:tcPr>
            <w:tcW w:w="19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1219835" cy="175260"/>
                      <wp:effectExtent l="0" t="0" r="0" b="0"/>
                      <wp:wrapNone/>
                      <wp:docPr id="173" name="Frame173"/>
                      <a:graphic xmlns:a="http://schemas.openxmlformats.org/drawingml/2006/main">
                        <a:graphicData uri="http://schemas.microsoft.com/office/word/2010/wordprocessingShape">
                          <wps:wsp>
                            <wps:cNvSpPr txBox="1"/>
                            <wps:spPr>
                              <a:xfrm>
                                <a:off x="0" y="0"/>
                                <a:ext cx="12198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19710" cy="175260"/>
                      <wp:effectExtent l="0" t="0" r="0" b="0"/>
                      <wp:wrapNone/>
                      <wp:docPr id="174" name="Frame17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169545" cy="175260"/>
                      <wp:effectExtent l="0" t="0" r="0" b="0"/>
                      <wp:wrapNone/>
                      <wp:docPr id="175" name="Frame175"/>
                      <a:graphic xmlns:a="http://schemas.openxmlformats.org/drawingml/2006/main">
                        <a:graphicData uri="http://schemas.microsoft.com/office/word/2010/wordprocessingShape">
                          <wps:wsp>
                            <wps:cNvSpPr txBox="1"/>
                            <wps:spPr>
                              <a:xfrm>
                                <a:off x="0" y="0"/>
                                <a:ext cx="16954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544830" cy="175260"/>
                      <wp:effectExtent l="0" t="0" r="0" b="0"/>
                      <wp:wrapNone/>
                      <wp:docPr id="176" name="Frame176"/>
                      <a:graphic xmlns:a="http://schemas.openxmlformats.org/drawingml/2006/main">
                        <a:graphicData uri="http://schemas.microsoft.com/office/word/2010/wordprocessingShape">
                          <wps:wsp>
                            <wps:cNvSpPr txBox="1"/>
                            <wps:spPr>
                              <a:xfrm>
                                <a:off x="0" y="0"/>
                                <a:ext cx="5448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9215" cy="175260"/>
                      <wp:effectExtent l="0" t="0" r="0" b="0"/>
                      <wp:wrapNone/>
                      <wp:docPr id="177" name="Frame1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208280" cy="175260"/>
                      <wp:effectExtent l="0" t="0" r="0" b="0"/>
                      <wp:wrapNone/>
                      <wp:docPr id="178" name="Frame178"/>
                      <a:graphic xmlns:a="http://schemas.openxmlformats.org/drawingml/2006/main">
                        <a:graphicData uri="http://schemas.microsoft.com/office/word/2010/wordprocessingShape">
                          <wps:wsp>
                            <wps:cNvSpPr txBox="1"/>
                            <wps:spPr>
                              <a:xfrm>
                                <a:off x="0" y="0"/>
                                <a:ext cx="2082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772795" cy="175260"/>
                      <wp:effectExtent l="0" t="0" r="0" b="0"/>
                      <wp:wrapNone/>
                      <wp:docPr id="179" name="Frame179"/>
                      <a:graphic xmlns:a="http://schemas.openxmlformats.org/drawingml/2006/main">
                        <a:graphicData uri="http://schemas.microsoft.com/office/word/2010/wordprocessingShape">
                          <wps:wsp>
                            <wps:cNvSpPr txBox="1"/>
                            <wps:spPr>
                              <a:xfrm>
                                <a:off x="0" y="0"/>
                                <a:ext cx="7727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w:t>
            </w:r>
          </w:p>
        </w:tc>
        <w:tc>
          <w:tcPr>
            <w:tcW w:w="858"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w:t>
            </w:r>
          </w:p>
        </w:tc>
        <w:tc>
          <w:tcPr>
            <w:tcW w:w="1217"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192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Balance Sheet Data</w:t>
            </w:r>
          </w:p>
        </w:tc>
        <w:tc>
          <w:tcPr>
            <w:tcW w:w="346" w:type="dxa"/>
            <w:tcBorders/>
            <w:vAlign w:val="center"/>
          </w:tcPr>
          <w:p>
            <w:pPr>
              <w:pStyle w:val="TableContents"/>
              <w:bidi w:val="0"/>
              <w:spacing w:lineRule="auto" w:line="285" w:before="0" w:after="0"/>
              <w:ind w:left="0" w:right="0" w:hanging="0"/>
              <w:jc w:val="left"/>
              <w:rPr/>
            </w:pPr>
            <w:r>
              <w:rPr/>
              <w:t>  ​ ​ ​</w:t>
            </w:r>
          </w:p>
        </w:tc>
        <w:tc>
          <w:tcPr>
            <w:tcW w:w="112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2026</w:t>
            </w:r>
          </w:p>
        </w:tc>
        <w:tc>
          <w:tcPr>
            <w:tcW w:w="109" w:type="dxa"/>
            <w:tcBorders/>
            <w:vAlign w:val="center"/>
          </w:tcPr>
          <w:p>
            <w:pPr>
              <w:pStyle w:val="TableContents"/>
              <w:bidi w:val="0"/>
              <w:spacing w:lineRule="auto" w:line="285" w:before="0" w:after="0"/>
              <w:ind w:left="0" w:right="0" w:hanging="0"/>
              <w:jc w:val="left"/>
              <w:rPr/>
            </w:pPr>
            <w:r>
              <w:rPr/>
              <w:t>​</w:t>
            </w:r>
          </w:p>
        </w:tc>
        <w:tc>
          <w:tcPr>
            <w:tcW w:w="154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2025</w:t>
            </w:r>
          </w:p>
        </w:tc>
      </w:tr>
      <w:tr>
        <w:trPr/>
        <w:tc>
          <w:tcPr>
            <w:tcW w:w="5046"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192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2779"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23,175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11,033</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8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695</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904</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0"/>
              <w:ind w:left="0" w:right="0" w:hanging="0"/>
              <w:jc w:val="left"/>
              <w:rPr/>
            </w:pPr>
            <w:r>
              <w:rPr/>
              <w:t> </w:t>
            </w:r>
          </w:p>
        </w:tc>
        <w:tc>
          <w:tcPr>
            <w:tcW w:w="8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875</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 </w:t>
            </w:r>
          </w:p>
        </w:tc>
        <w:tc>
          <w:tcPr>
            <w:tcW w:w="121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1,049</w:t>
            </w:r>
          </w:p>
        </w:tc>
      </w:tr>
      <w:tr>
        <w:trPr/>
        <w:tc>
          <w:tcPr>
            <w:tcW w:w="192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Non-current liabilities</w:t>
            </w:r>
          </w:p>
        </w:tc>
        <w:tc>
          <w:tcPr>
            <w:tcW w:w="346" w:type="dxa"/>
            <w:tcBorders/>
            <w:vAlign w:val="center"/>
          </w:tcPr>
          <w:p>
            <w:pPr>
              <w:pStyle w:val="TableContents"/>
              <w:bidi w:val="0"/>
              <w:spacing w:lineRule="auto" w:line="285" w:before="0" w:after="0"/>
              <w:ind w:left="0" w:right="0" w:hanging="0"/>
              <w:jc w:val="left"/>
              <w:rPr/>
            </w:pPr>
            <w:r>
              <w:rPr/>
              <w:t>​</w:t>
            </w:r>
          </w:p>
        </w:tc>
        <w:tc>
          <w:tcPr>
            <w:tcW w:w="267" w:type="dxa"/>
            <w:tcBorders/>
            <w:vAlign w:val="center"/>
          </w:tcPr>
          <w:p>
            <w:pPr>
              <w:pStyle w:val="TableContents"/>
              <w:bidi w:val="0"/>
              <w:spacing w:lineRule="auto" w:line="285" w:before="0" w:after="0"/>
              <w:ind w:left="0" w:right="0" w:hanging="0"/>
              <w:jc w:val="left"/>
              <w:rPr/>
            </w:pPr>
            <w:r>
              <w:rPr/>
              <w:t> </w:t>
            </w:r>
          </w:p>
        </w:tc>
        <w:tc>
          <w:tcPr>
            <w:tcW w:w="85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109" w:type="dxa"/>
            <w:tcBorders/>
            <w:vAlign w:val="center"/>
          </w:tcPr>
          <w:p>
            <w:pPr>
              <w:pStyle w:val="TableContents"/>
              <w:bidi w:val="0"/>
              <w:spacing w:lineRule="auto" w:line="285" w:before="0" w:after="0"/>
              <w:ind w:left="0" w:right="0" w:hanging="0"/>
              <w:jc w:val="left"/>
              <w:rPr/>
            </w:pPr>
            <w:r>
              <w:rPr/>
              <w:t>​</w:t>
            </w:r>
          </w:p>
        </w:tc>
        <w:tc>
          <w:tcPr>
            <w:tcW w:w="328" w:type="dxa"/>
            <w:tcBorders/>
            <w:vAlign w:val="center"/>
          </w:tcPr>
          <w:p>
            <w:pPr>
              <w:pStyle w:val="TableContents"/>
              <w:bidi w:val="0"/>
              <w:spacing w:lineRule="auto" w:line="285" w:before="0" w:after="0"/>
              <w:ind w:left="0" w:right="0" w:hanging="0"/>
              <w:jc w:val="left"/>
              <w:rPr/>
            </w:pPr>
            <w:r>
              <w:rPr/>
              <w:t> </w:t>
            </w:r>
          </w:p>
        </w:tc>
        <w:tc>
          <w:tcPr>
            <w:tcW w:w="121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r>
      <w:tr>
        <w:trPr/>
        <w:tc>
          <w:tcPr>
            <w:tcW w:w="192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7" w:type="dxa"/>
            <w:tcBorders/>
            <w:shd w:fill="CCEEFF" w:val="clear"/>
            <w:vAlign w:val="center"/>
          </w:tcPr>
          <w:p>
            <w:pPr>
              <w:pStyle w:val="TableContents"/>
              <w:bidi w:val="0"/>
              <w:spacing w:lineRule="auto" w:line="285" w:before="0" w:after="0"/>
              <w:ind w:left="0" w:right="0" w:hanging="0"/>
              <w:jc w:val="left"/>
              <w:rPr/>
            </w:pPr>
            <w:r>
              <w:rPr/>
              <w:t>​</w:t>
            </w:r>
          </w:p>
        </w:tc>
        <w:tc>
          <w:tcPr>
            <w:tcW w:w="85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22,936</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328" w:type="dxa"/>
            <w:tcBorders/>
            <w:shd w:fill="CCEEFF" w:val="clear"/>
            <w:vAlign w:val="center"/>
          </w:tcPr>
          <w:p>
            <w:pPr>
              <w:pStyle w:val="TableContents"/>
              <w:bidi w:val="0"/>
              <w:spacing w:lineRule="auto" w:line="285" w:before="0" w:after="0"/>
              <w:ind w:left="0" w:right="0" w:hanging="0"/>
              <w:jc w:val="left"/>
              <w:rPr/>
            </w:pPr>
            <w:r>
              <w:rPr/>
              <w:t>​</w:t>
            </w:r>
          </w:p>
        </w:tc>
        <w:tc>
          <w:tcPr>
            <w:tcW w:w="1217" w:type="dxa"/>
            <w:tcBorders/>
            <w:shd w:fill="CCEEFF" w:val="cle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10,659</w:t>
            </w:r>
          </w:p>
        </w:tc>
      </w:tr>
    </w:tbl>
    <w:p>
      <w:pPr>
        <w:pStyle w:val="TextBody"/>
        <w:bidi w:val="0"/>
        <w:spacing w:lineRule="auto" w:line="285" w:before="0" w:after="0"/>
        <w:ind w:left="0" w:right="0" w:hanging="0"/>
        <w:jc w:val="left"/>
        <w:rPr>
          <w:color w:val="EE0000"/>
        </w:rPr>
      </w:pPr>
      <w:r>
        <w:rPr>
          <w:color w:val="EE0000"/>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980" w:name="Tc_Fjtsnru1iUKm6CcF1a3jtQ_8_0"/>
      <w:bookmarkStart w:id="981" w:name="Tc_okMtTWSq-k-4w40ZuMaInA_7_0"/>
      <w:bookmarkStart w:id="982" w:name="Tc_kxE-1_hCcUiYIZy4VZT8iQ_6_13"/>
      <w:bookmarkStart w:id="983" w:name="Tc_TarDWTXg00Wph61BPvKz4g_6_10"/>
      <w:bookmarkStart w:id="984" w:name="Tc_1lJNTO6yBECy0yZm9prRZA_6_7"/>
      <w:bookmarkStart w:id="985" w:name="Tc_i5hixT9m_E25fRzG04oDmw_6_4"/>
      <w:bookmarkStart w:id="986" w:name="Tc_66u0QKAbiUGQsoB70IUXnw_6_0"/>
      <w:bookmarkStart w:id="987" w:name="Tc_qZg1Fxg6c0izTdje85XkHg_5_13"/>
      <w:bookmarkStart w:id="988" w:name="Tc_X5NXgKXxLUKaC6A5c1yuHA_5_12"/>
      <w:bookmarkStart w:id="989" w:name="Tc_0RxRN2BCh0qHaohZnjuKmA_5_10"/>
      <w:bookmarkStart w:id="990" w:name="Tc_rhHPZdh7RUeY8_YuDrTtiA_5_9"/>
      <w:bookmarkStart w:id="991" w:name="Tc_Eiq4qA7Ay0amEC1Hiqo_yw_5_7"/>
      <w:bookmarkStart w:id="992" w:name="Tc_sDiJKlEVK0WBL4Tcg2K9zg_5_6"/>
      <w:bookmarkStart w:id="993" w:name="Tc_T4LASXQZn0WZb3-wddpBjg_5_4"/>
      <w:bookmarkStart w:id="994" w:name="Tc_M7i_DCYASEOpDuLz57iw1Q_5_3"/>
      <w:bookmarkStart w:id="995" w:name="Tc_1zzO19wdqkS6YYj7siJ7MA_5_0"/>
      <w:bookmarkStart w:id="996" w:name="Tc_xsgEV51fhk2BQ0yr74yUWA_4_3"/>
      <w:bookmarkStart w:id="997" w:name="Tc_j9uK4B7NUkSoQexsFpxjOA_3_12"/>
      <w:bookmarkStart w:id="998" w:name="Tc_k-EFdZAmPUqp8HICy7m3YQ_3_9"/>
      <w:bookmarkStart w:id="999" w:name="Tc_q-Y25kPKx0-O5s4jkicEAA_3_6"/>
      <w:bookmarkStart w:id="1000" w:name="Tc_7Qj2eP3Sgk6RWeGTZNkxQA_3_3"/>
      <w:bookmarkStart w:id="1001" w:name="Tc_UQNm0Sf2FUmVX-rxK-fMXg_3_0"/>
      <w:bookmarkStart w:id="1002" w:name="Tc_lEg8CyDfOUeKR-UPmzpbsA_2_9"/>
      <w:bookmarkStart w:id="1003" w:name="Tc_Ajt_iIrFlEmAbR9oYMNMcA_2_3"/>
      <w:bookmarkStart w:id="1004" w:name="Tc_i9isd1aysEqLRhFRU8hQXw_1_9"/>
      <w:bookmarkStart w:id="1005" w:name="Tc_8tUWp-wmGkqNtvyF1NTclQ_1_3"/>
      <w:bookmarkStart w:id="1006" w:name="Tc_Fjtsnru1iUKm6CcF1a3jtQ_8_0"/>
      <w:bookmarkStart w:id="1007" w:name="Tc_okMtTWSq-k-4w40ZuMaInA_7_0"/>
      <w:bookmarkStart w:id="1008" w:name="Tc_kxE-1_hCcUiYIZy4VZT8iQ_6_13"/>
      <w:bookmarkStart w:id="1009" w:name="Tc_TarDWTXg00Wph61BPvKz4g_6_10"/>
      <w:bookmarkStart w:id="1010" w:name="Tc_1lJNTO6yBECy0yZm9prRZA_6_7"/>
      <w:bookmarkStart w:id="1011" w:name="Tc_i5hixT9m_E25fRzG04oDmw_6_4"/>
      <w:bookmarkStart w:id="1012" w:name="Tc_66u0QKAbiUGQsoB70IUXnw_6_0"/>
      <w:bookmarkStart w:id="1013" w:name="Tc_qZg1Fxg6c0izTdje85XkHg_5_13"/>
      <w:bookmarkStart w:id="1014" w:name="Tc_X5NXgKXxLUKaC6A5c1yuHA_5_12"/>
      <w:bookmarkStart w:id="1015" w:name="Tc_0RxRN2BCh0qHaohZnjuKmA_5_10"/>
      <w:bookmarkStart w:id="1016" w:name="Tc_rhHPZdh7RUeY8_YuDrTtiA_5_9"/>
      <w:bookmarkStart w:id="1017" w:name="Tc_Eiq4qA7Ay0amEC1Hiqo_yw_5_7"/>
      <w:bookmarkStart w:id="1018" w:name="Tc_sDiJKlEVK0WBL4Tcg2K9zg_5_6"/>
      <w:bookmarkStart w:id="1019" w:name="Tc_T4LASXQZn0WZb3-wddpBjg_5_4"/>
      <w:bookmarkStart w:id="1020" w:name="Tc_M7i_DCYASEOpDuLz57iw1Q_5_3"/>
      <w:bookmarkStart w:id="1021" w:name="Tc_1zzO19wdqkS6YYj7siJ7MA_5_0"/>
      <w:bookmarkStart w:id="1022" w:name="Tc_xsgEV51fhk2BQ0yr74yUWA_4_3"/>
      <w:bookmarkStart w:id="1023" w:name="Tc_j9uK4B7NUkSoQexsFpxjOA_3_12"/>
      <w:bookmarkStart w:id="1024" w:name="Tc_k-EFdZAmPUqp8HICy7m3YQ_3_9"/>
      <w:bookmarkStart w:id="1025" w:name="Tc_q-Y25kPKx0-O5s4jkicEAA_3_6"/>
      <w:bookmarkStart w:id="1026" w:name="Tc_7Qj2eP3Sgk6RWeGTZNkxQA_3_3"/>
      <w:bookmarkStart w:id="1027" w:name="Tc_UQNm0Sf2FUmVX-rxK-fMXg_3_0"/>
      <w:bookmarkStart w:id="1028" w:name="Tc_lEg8CyDfOUeKR-UPmzpbsA_2_9"/>
      <w:bookmarkStart w:id="1029" w:name="Tc_Ajt_iIrFlEmAbR9oYMNMcA_2_3"/>
      <w:bookmarkStart w:id="1030" w:name="Tc_i9isd1aysEqLRhFRU8hQXw_1_9"/>
      <w:bookmarkStart w:id="1031" w:name="Tc_8tUWp-wmGkqNtvyF1NTclQ_1_3"/>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p>
    <w:tbl>
      <w:tblPr>
        <w:tblW w:w="10005" w:type="dxa"/>
        <w:jc w:val="left"/>
        <w:tblInd w:w="0" w:type="dxa"/>
        <w:tblLayout w:type="fixed"/>
        <w:tblCellMar>
          <w:top w:w="0" w:type="dxa"/>
          <w:left w:w="0" w:type="dxa"/>
          <w:bottom w:w="0" w:type="dxa"/>
          <w:right w:w="0" w:type="dxa"/>
        </w:tblCellMar>
      </w:tblPr>
      <w:tblGrid>
        <w:gridCol w:w="5761"/>
        <w:gridCol w:w="346"/>
        <w:gridCol w:w="109"/>
        <w:gridCol w:w="211"/>
        <w:gridCol w:w="541"/>
        <w:gridCol w:w="109"/>
        <w:gridCol w:w="211"/>
        <w:gridCol w:w="541"/>
        <w:gridCol w:w="109"/>
        <w:gridCol w:w="211"/>
        <w:gridCol w:w="691"/>
        <w:gridCol w:w="109"/>
        <w:gridCol w:w="211"/>
        <w:gridCol w:w="691"/>
        <w:gridCol w:w="154"/>
      </w:tblGrid>
      <w:tr>
        <w:trPr/>
        <w:tc>
          <w:tcPr>
            <w:tcW w:w="5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3658235" cy="175260"/>
                      <wp:effectExtent l="0" t="0" r="0" b="0"/>
                      <wp:wrapNone/>
                      <wp:docPr id="180" name="Frame180"/>
                      <a:graphic xmlns:a="http://schemas.openxmlformats.org/drawingml/2006/main">
                        <a:graphicData uri="http://schemas.microsoft.com/office/word/2010/wordprocessingShape">
                          <wps:wsp>
                            <wps:cNvSpPr txBox="1"/>
                            <wps:spPr>
                              <a:xfrm>
                                <a:off x="0" y="0"/>
                                <a:ext cx="3658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19710" cy="175260"/>
                      <wp:effectExtent l="0" t="0" r="0" b="0"/>
                      <wp:wrapNone/>
                      <wp:docPr id="181" name="Frame18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9215" cy="175260"/>
                      <wp:effectExtent l="0" t="0" r="0" b="0"/>
                      <wp:wrapNone/>
                      <wp:docPr id="182" name="Frame18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133985" cy="175260"/>
                      <wp:effectExtent l="0" t="0" r="0" b="0"/>
                      <wp:wrapNone/>
                      <wp:docPr id="183" name="Frame1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343535" cy="175260"/>
                      <wp:effectExtent l="0" t="0" r="0" b="0"/>
                      <wp:wrapNone/>
                      <wp:docPr id="184" name="Frame184"/>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9215" cy="175260"/>
                      <wp:effectExtent l="0" t="0" r="0" b="0"/>
                      <wp:wrapNone/>
                      <wp:docPr id="185" name="Frame18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133985" cy="175260"/>
                      <wp:effectExtent l="0" t="0" r="0" b="0"/>
                      <wp:wrapNone/>
                      <wp:docPr id="186" name="Frame1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343535" cy="175260"/>
                      <wp:effectExtent l="0" t="0" r="0" b="0"/>
                      <wp:wrapNone/>
                      <wp:docPr id="187" name="Frame187"/>
                      <a:graphic xmlns:a="http://schemas.openxmlformats.org/drawingml/2006/main">
                        <a:graphicData uri="http://schemas.microsoft.com/office/word/2010/wordprocessingShape">
                          <wps:wsp>
                            <wps:cNvSpPr txBox="1"/>
                            <wps:spPr>
                              <a:xfrm>
                                <a:off x="0" y="0"/>
                                <a:ext cx="343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9215" cy="175260"/>
                      <wp:effectExtent l="0" t="0" r="0" b="0"/>
                      <wp:wrapNone/>
                      <wp:docPr id="188" name="Frame1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133985" cy="175260"/>
                      <wp:effectExtent l="0" t="0" r="0" b="0"/>
                      <wp:wrapNone/>
                      <wp:docPr id="189" name="Frame1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438785" cy="175260"/>
                      <wp:effectExtent l="0" t="0" r="0" b="0"/>
                      <wp:wrapNone/>
                      <wp:docPr id="190" name="Frame19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9215" cy="175260"/>
                      <wp:effectExtent l="0" t="0" r="0" b="0"/>
                      <wp:wrapNone/>
                      <wp:docPr id="191" name="Frame1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33985" cy="175260"/>
                      <wp:effectExtent l="0" t="0" r="0" b="0"/>
                      <wp:wrapNone/>
                      <wp:docPr id="192" name="Frame1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438785" cy="175260"/>
                      <wp:effectExtent l="0" t="0" r="0" b="0"/>
                      <wp:wrapNone/>
                      <wp:docPr id="193" name="Frame193"/>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97790" cy="175260"/>
                      <wp:effectExtent l="0" t="0" r="0" b="0"/>
                      <wp:wrapNone/>
                      <wp:docPr id="194" name="Frame194"/>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1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lineRule="auto" w:line="285" w:before="0" w:after="0"/>
              <w:ind w:left="0" w:right="0" w:hanging="0"/>
              <w:jc w:val="center"/>
              <w:rPr/>
            </w:pPr>
            <w:r>
              <w:rPr/>
              <w:t>​</w:t>
            </w:r>
          </w:p>
        </w:tc>
        <w:tc>
          <w:tcPr>
            <w:tcW w:w="1913"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center"/>
              <w:rPr/>
            </w:pPr>
            <w:r>
              <w:rPr/>
              <w:t>​</w:t>
            </w:r>
          </w:p>
        </w:tc>
        <w:tc>
          <w:tcPr>
            <w:tcW w:w="16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lineRule="auto" w:line="285" w:before="0" w:after="0"/>
              <w:ind w:left="0" w:right="0" w:hanging="0"/>
              <w:jc w:val="center"/>
              <w:rPr/>
            </w:pPr>
            <w:r>
              <w:rPr/>
              <w:t>​</w:t>
            </w:r>
          </w:p>
        </w:tc>
        <w:tc>
          <w:tcPr>
            <w:tcW w:w="1913"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576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 of Operations Data</w:t>
            </w:r>
          </w:p>
        </w:tc>
        <w:tc>
          <w:tcPr>
            <w:tcW w:w="346" w:type="dxa"/>
            <w:tcBorders/>
            <w:vAlign w:val="center"/>
          </w:tcPr>
          <w:p>
            <w:pPr>
              <w:pStyle w:val="TableContents"/>
              <w:bidi w:val="0"/>
              <w:spacing w:lineRule="auto" w:line="285" w:before="0" w:after="0"/>
              <w:ind w:left="0" w:right="0" w:hanging="0"/>
              <w:jc w:val="left"/>
              <w:rPr/>
            </w:pPr>
            <w:r>
              <w:rPr/>
              <w:t>  ​ ​ ​</w:t>
            </w:r>
          </w:p>
        </w:tc>
        <w:tc>
          <w:tcPr>
            <w:tcW w:w="109" w:type="dxa"/>
            <w:tcBorders/>
            <w:vAlign w:val="center"/>
          </w:tcPr>
          <w:p>
            <w:pPr>
              <w:pStyle w:val="TableContents"/>
              <w:bidi w:val="0"/>
              <w:spacing w:lineRule="auto" w:line="285" w:before="0" w:after="0"/>
              <w:ind w:left="0" w:right="0" w:hanging="0"/>
              <w:jc w:val="center"/>
              <w:rPr/>
            </w:pPr>
            <w:r>
              <w:rP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rPr/>
            </w:pPr>
            <w:r>
              <w:rPr/>
              <w:t>​</w:t>
            </w:r>
          </w:p>
        </w:tc>
        <w:tc>
          <w:tcPr>
            <w:tcW w:w="75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09" w:type="dxa"/>
            <w:tcBorders/>
            <w:vAlign w:val="center"/>
          </w:tcPr>
          <w:p>
            <w:pPr>
              <w:pStyle w:val="TableContents"/>
              <w:bidi w:val="0"/>
              <w:spacing w:lineRule="auto" w:line="285" w:before="0" w:after="0"/>
              <w:ind w:left="0" w:right="0" w:hanging="0"/>
              <w:jc w:val="left"/>
              <w:rPr/>
            </w:pPr>
            <w:r>
              <w:rPr/>
              <w:t>​</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54" w:type="dxa"/>
            <w:tcBorders/>
            <w:vAlign w:val="center"/>
          </w:tcPr>
          <w:p>
            <w:pPr>
              <w:pStyle w:val="TableContents"/>
              <w:bidi w:val="0"/>
              <w:spacing w:lineRule="auto" w:line="285" w:before="0" w:after="0"/>
              <w:ind w:left="0" w:right="0" w:hanging="0"/>
              <w:jc w:val="center"/>
              <w:rPr/>
            </w:pPr>
            <w:r>
              <w:rPr/>
              <w:t>​</w:t>
            </w:r>
          </w:p>
        </w:tc>
      </w:tr>
      <w:tr>
        <w:trPr/>
        <w:tc>
          <w:tcPr>
            <w:tcW w:w="100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576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9" w:type="dxa"/>
            <w:tcBorders/>
            <w:vAlign w:val="center"/>
          </w:tcPr>
          <w:p>
            <w:pPr>
              <w:pStyle w:val="TableContents"/>
              <w:bidi w:val="0"/>
              <w:spacing w:lineRule="auto" w:line="285" w:before="0" w:after="0"/>
              <w:ind w:left="0" w:right="0" w:hanging="0"/>
              <w:jc w:val="center"/>
              <w:rPr/>
            </w:pPr>
            <w:r>
              <w:rPr/>
              <w:t>​</w:t>
            </w:r>
          </w:p>
        </w:tc>
        <w:tc>
          <w:tcPr>
            <w:tcW w:w="3635" w:type="dxa"/>
            <w:gridSpan w:val="11"/>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Revenue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4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shd w:fill="CCEEFF" w:val="clear"/>
            <w:vAlign w:val="center"/>
          </w:tcPr>
          <w:p>
            <w:pPr>
              <w:pStyle w:val="TableContents"/>
              <w:bidi w:val="0"/>
              <w:spacing w:lineRule="auto" w:line="285" w:before="0" w:after="0"/>
              <w:ind w:left="0" w:right="0" w:hanging="0"/>
              <w:jc w:val="right"/>
              <w:rPr/>
            </w:pPr>
            <w:r>
              <w:rPr/>
              <w:t>—</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pPr>
            <w:r>
              <w:rPr/>
              <w:t>—</w:t>
            </w:r>
          </w:p>
        </w:tc>
        <w:tc>
          <w:tcPr>
            <w:tcW w:w="154" w:type="dxa"/>
            <w:tcBorders/>
            <w:vAlign w:val="center"/>
          </w:tcPr>
          <w:p>
            <w:pPr>
              <w:pStyle w:val="TableContents"/>
              <w:bidi w:val="0"/>
              <w:spacing w:lineRule="auto" w:line="285" w:before="0" w:after="0"/>
              <w:ind w:left="0" w:right="0" w:hanging="0"/>
              <w:jc w:val="left"/>
              <w:rPr/>
            </w:pPr>
            <w:r>
              <w:rPr/>
              <w:t>​</w:t>
            </w:r>
          </w:p>
        </w:tc>
      </w:tr>
      <w:tr>
        <w:trPr/>
        <w:tc>
          <w:tcPr>
            <w:tcW w:w="576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righ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(832)</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(503)</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(1,599)</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(1,189)</w:t>
            </w:r>
          </w:p>
        </w:tc>
        <w:tc>
          <w:tcPr>
            <w:tcW w:w="154" w:type="dxa"/>
            <w:tcBorders/>
            <w:shd w:fill="CCEEFF" w:val="clear"/>
            <w:vAlign w:val="center"/>
          </w:tcPr>
          <w:p>
            <w:pPr>
              <w:pStyle w:val="TableContents"/>
              <w:bidi w:val="0"/>
              <w:spacing w:lineRule="auto" w:line="285" w:before="0" w:after="0"/>
              <w:ind w:left="0" w:right="0" w:hanging="0"/>
              <w:jc w:val="left"/>
              <w:rPr/>
            </w:pPr>
            <w:r>
              <w:rPr/>
              <w:t>​</w:t>
            </w:r>
          </w:p>
        </w:tc>
      </w:tr>
      <w:tr>
        <w:trPr/>
        <w:tc>
          <w:tcPr>
            <w:tcW w:w="576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 of loss from investments accounted for using the equity method</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righ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109"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15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7. License and Collaboration Agreements</w:t>
      </w:r>
    </w:p>
    <w:p>
      <w:pPr>
        <w:pStyle w:val="TextBody"/>
        <w:bidi w:val="0"/>
        <w:spacing w:lineRule="auto" w:line="285" w:before="0" w:after="0"/>
        <w:ind w:left="0" w:right="0" w:hanging="0"/>
        <w:jc w:val="left"/>
        <w:rPr/>
      </w:pPr>
      <w:r>
        <w:rPr/>
        <w:t>​</w:t>
      </w:r>
    </w:p>
    <w:p>
      <w:pPr>
        <w:pStyle w:val="TextBody"/>
        <w:pBdr/>
        <w:bidi w:val="0"/>
        <w:spacing w:lineRule="auto" w:line="285" w:before="0" w:after="0"/>
        <w:ind w:left="0" w:right="0" w:hanging="360"/>
        <w:jc w:val="left"/>
        <w:rPr>
          <w:rFonts w:ascii="Times New Roman;Times;serif" w:hAnsi="Times New Roman;Times;serif"/>
          <w:b/>
          <w:i/>
          <w:sz w:val="20"/>
        </w:rPr>
      </w:pPr>
      <w:r>
        <w:rPr>
          <w:rFonts w:ascii="Times New Roman;Times;serif" w:hAnsi="Times New Roman;Times;serif"/>
          <w:b/>
          <w:i/>
          <w:sz w:val="20"/>
        </w:rPr>
        <w:t>Scripps Licensing Agreement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December 2014, the Company entered into a license agreement with The Scripps Research Institute (“Scripps”), pursuant to which it was granted a non-exclusive, world-wide license for all fields of use under Scripps’ rights in certain know-how and technology related to a mouse hybridoma clone expressing an anti-human CD73 antibody, and to progeny, mutants or unmodified derivatives of such hybridoma and any antibodies expressed by such hybridoma, from which we developed CPI-006. Scripps also granted the Company the right to grant sublicenses in conjunction with other proprietary rights the Company holds, or to others collaborating with or performing services for the Company. Under this license agreement, Scripps has agreed not to grant any additional commercial licenses with respect to such materials, other than march-in rights granted to the U.S. government.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Upon execution of the agreement, the Company made a one time cash payment to Scripps of $10,000 in 2015 and is also obligated to pay a minimum annual fee to Scripps of $25,000. The one time cash payment was recorded as research and development expense as technological feasibility of the asset had not been established and there was no alternative future use. A minimum annual fee payment is due on each anniversary of the effective date of the agreement for the term of the agreement. The Company is also required to make performance based cash payments upon successful completion of clinical and sales milestones. The aggregate potential milestone payments are $2.5 million as of June 30, 2026. The Company is also required to pay royalties on net sales of licensed products (including CPI-006) sold by it, its affiliates and its sublicensees at a rate in the low single digits. In addition, should the Company sublicense the rights licensed under the agreement, it has agreed to pay a percentage of sublicense revenue received at specified rates that start at double digit percentages and decrease to single digit percentages based on the elapsed time from the effective date of the agreement and the time of entry into such sublicense. To date, no milestone payments have been made.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Company’s license agreement with Scripps will terminate upon expiration of its obligation to pay royalties to Scripps under the license agreement. The Company’s license agreement with Scripps is terminable by the consent of the parties, at will by the Company upon providing 90 days written notice to Scripps, or by Scripps for certain material breaches, or if the Company undergoes a bankruptcy event. In addition, Scripps may terminate the license on a product by product basis, or the entire agreement, if the Company fails to meet specified diligence obligations related to the development and commercialization of licensed products. Scripps may also terminate the agreement after the third anniversary of the effective date of the agreement if it reasonably believes, based on reports the Company provides to Scripps, that the Company has not used commercially reasonable efforts as required under the agreement, subject to a specified notice and cure period.</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Vernalis Licensing Agreement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February 2015, the Company entered into a license agreement with Vernalis (R&amp;D) Limited (“Vernalis”), which was subsequently amended as of November 5, 2015, and, pursuant to which the Company was granted an exclusive, worldwide license under certain patent rights and know-how, including a limited right to grant sublicenses, for all fields of use to develop, manufacture and commercialize products containing certain adenosine receptor antagonists, including ciforadenant. Pursuant to this agreement, the Company made a one-time cash payment to Vernalis in the amount of $1.0 million, which was recorded as research and development expense as technological feasibility of the asset had not been established and there was no alternative future use. The Company is also required to make cash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milestone payments to Vernalis upon the successful completion of clinical and regulatory milestones for licensed products depending on the indications for which such licensed products are developed and upon achievement of certain sales milestones. In February 2017, the Company made a milestone payment of $3.0 million to Vernalis following the expansion of a cohort of patients with renal cell cancer treated with single agent ciforadenant in the Company’s Phase 1/1b clinical trial. During the six months ended June 30, 2026 and 2025, no clinical or regulatory milestones were completed or paid to Vernalis, and the aggregate potential milestone payments were approximately $220 million for all indications as of June 30, 2026. The Company has also agreed to pay Vernalis tiered incremental royalties based on the annual net sales of licensed products containing ciforadenant on a product by product and country by country basis, subject to certain offsets and reductions. The tiered royalty rates for products containing ciforadenant range from the mid single digits up to the low double digits on a country by country net sales basis. The royalties on other licensed products that do not include ciforadenant also increase with the amount of net sales on a product-by-product and country by country basis and range from the low single digits up to the mid single digits on a country by country net sales basis. The Company is also obligated to pay to Vernalis certain sales milestones as indicated above when worldwide net sales reach specified levels over an agreed upon time period.</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agreement will expire on a product-by-product and country-by-country basis upon the expiration of the Company’s payment obligations to Vernalis in respect of a particular product and country. Both parties have the right to terminate the agreement for an uncured material breach by the other party. The Company may also terminate the agreement at its convenience by providing 90 days written notice, provided that the Company has not received notice of its own default under the agreement at the time the Company exercises such termination right. Vernalis may also terminate the agreement if the Company challenges a licensed patent or undergoes a bankruptcy event.</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Monash License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April 2017, the Company entered into a license agreement with Monash University (“Monash”), pursuant to which the Company was granted an exclusive, sublicensable worldwide license under certain know-how, patent rights and other intellectual property rights controlled by Monash to research, develop, and commercialize certain antibodies directed to CXCR2 for the treatment of human diseases.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Upon execution of the agreement, the Company made a one time cash payment to Monash of $275,000 and reimbursed Monash for certain patent prosecution costs incurred prior to execution of the agreement. The Company recorded these payments as research and development expenses for the year ended December 31, 2017. The Company is also obligated to pay an annual license maintenance fee to Monash of $25,000 until a certain development milestone is met with respect to the licensed product, after which no further maintenance fee will be due. The Company is also required to make development and sales milestone payments to Monash with respect to the licensed products. During the six months ended June 30, 2026 and 2025, no development or sales milestones were completed or paid to Monash, and the aggregate potential milestones were $45.1 million as of June 30, 2026. The Company is also required to pay to Monash tiered royalties on net sales of licensed products sold by it, its affiliates and its sublicensees at a rate ranging in the low single digits. In addition, should the Company sublicense its rights under the agreement, the Company has agreed to pay a percentage of sublicense revenue received at specified rates that are currently at low double digit percentages and decrease to single digit percentages based on the achievement of development milestones.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term of the Company’s agreement with Monash continues until the expiration of its obligation to pay royalties to Monash thereunder. The license agreement is terminable at will by the Company upon providing 30 days written notice to Monash, or by either party for material breaches by the other party. In addition, Monash may terminate the entire agreement or convert the license to a non-exclusive license if the Company has materially breached its obligation to use commercially reasonable efforts to develop and commercialize a licensed product, subject to a specified notice and cure mechanism.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032" w:name="Tc_v1ovWDUQME645ReCoovVow_23_5"/>
      <w:bookmarkStart w:id="1033" w:name="Tc_Y_4hVT1p9EGXzf0jlsuT5g_23_2"/>
      <w:bookmarkStart w:id="1034" w:name="Tc_UpxMtthzC0u3v9mw7cwMbw_22_0"/>
      <w:bookmarkStart w:id="1035" w:name="Tc_JLXzDtt7FEOM4cirqVYtMQ_21_0"/>
      <w:bookmarkStart w:id="1036" w:name="Tc_3heZnWIpJkycNlQaES_vQA_20_0"/>
      <w:bookmarkStart w:id="1037" w:name="Tc_cAhU9CT7g0aLruYxhQo-3A_19_0"/>
      <w:bookmarkStart w:id="1038" w:name="Tc_qBM4phgvXUyCLXMP2fQWtg_18_5"/>
      <w:bookmarkStart w:id="1039" w:name="Tc_tHDgPePH0ESqj4FWT_81pw_18_2"/>
      <w:bookmarkStart w:id="1040" w:name="Tc_IUZhW24XaUG6WqbA6W7dOw_18_0"/>
      <w:bookmarkStart w:id="1041" w:name="Tc_KtaLlEmNN0ihzY-6nnzBUQ_17_0"/>
      <w:bookmarkStart w:id="1042" w:name="Tc_EHPPA2MniU-tqOjz_Dlvww_16_5"/>
      <w:bookmarkStart w:id="1043" w:name="Tc_-xnuWiLdgUafbCaATtB1hw_16_2"/>
      <w:bookmarkStart w:id="1044" w:name="Tc_vvcD_xPxeke_Hw5ce4vjQg_15_0"/>
      <w:bookmarkStart w:id="1045" w:name="Tc_6b87JL2j2UiTZkygfTdZMA_13_6"/>
      <w:bookmarkStart w:id="1046" w:name="Tc_pCTnc-SvqUK4EcQop-Ux4A_13_0"/>
      <w:bookmarkStart w:id="1047" w:name="Tc_E3Ha-vSgg0eZegB4HQsNQg_12_0"/>
      <w:bookmarkStart w:id="1048" w:name="Tc_FPvTC89P-UWl-UHE3GjubQ_11_0"/>
      <w:bookmarkStart w:id="1049" w:name="Tc_Jr85ysrz_UCA9c9k6c59EQ_10_5"/>
      <w:bookmarkStart w:id="1050" w:name="Tc_XW6JdO-NXU2aLO-gLc7zNA_10_2"/>
      <w:bookmarkStart w:id="1051" w:name="Tc_ZnUylv0RAkisE7G_jKmbZw_10_0"/>
      <w:bookmarkStart w:id="1052" w:name="Tc_yg31iRv3LEOkhov-brNhRA_9_0"/>
      <w:bookmarkStart w:id="1053" w:name="Tc_x0itQ3r3a0OQZHfoA2NSzw_8_5"/>
      <w:bookmarkStart w:id="1054" w:name="Tc_7E-6Gm_ikkC5cyqOMLbprw_8_2"/>
      <w:bookmarkStart w:id="1055" w:name="Tc_8ZA2HcSh7EyCUPVv763Liw_7_0"/>
      <w:bookmarkStart w:id="1056" w:name="Tc_eg9SSgch4EubAo473pnxLQ_6_0"/>
      <w:bookmarkStart w:id="1057" w:name="Tc_iW4UFQ60-kuo-ZpGW2JSjw_5_0"/>
      <w:bookmarkStart w:id="1058" w:name="Tc_hfDLLJ-z2EOmK1od8VaeRg_4_5"/>
      <w:bookmarkStart w:id="1059" w:name="Tc_G1wwGqb4RUSOTie9Bl_T9g_4_2"/>
      <w:bookmarkStart w:id="1060" w:name="Tc_zFnGimzkFkm1O-VXKGb7Eg_4_0"/>
      <w:bookmarkStart w:id="1061" w:name="Tc_IdiVtJIdaU-ZH0W-j-hhjg_3_0"/>
      <w:bookmarkStart w:id="1062" w:name="Tc_j6gpXWkoSEaLS5pqBJ7Tjg_2_5"/>
      <w:bookmarkStart w:id="1063" w:name="Tc_hewHSX7u6EupN5gZ81apMw_2_2"/>
      <w:bookmarkStart w:id="1064" w:name="Tc_MqisKrWd40yJNGju-kIX-A_1_5"/>
      <w:bookmarkStart w:id="1065" w:name="Tc_C0ymhR5ey0GDmTXEpE65cA_1_2"/>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r>
        <w:rPr>
          <w:rFonts w:ascii="Times New Roman;Times;serif" w:hAnsi="Times New Roman;Times;serif"/>
          <w:b/>
          <w:sz w:val="20"/>
        </w:rPr>
        <w:t>8. Balance Sheet Components (in thousands)</w:t>
      </w:r>
    </w:p>
    <w:p>
      <w:pPr>
        <w:pStyle w:val="TextBody"/>
        <w:bidi w:val="0"/>
        <w:spacing w:lineRule="auto" w:line="285" w:before="0" w:after="0"/>
        <w:ind w:left="0" w:right="0" w:hanging="0"/>
        <w:jc w:val="left"/>
        <w:rPr/>
      </w:pPr>
      <w:r>
        <w:rPr/>
        <w:t>​</w:t>
      </w:r>
    </w:p>
    <w:tbl>
      <w:tblPr>
        <w:tblW w:w="8031" w:type="dxa"/>
        <w:jc w:val="left"/>
        <w:tblInd w:w="0" w:type="dxa"/>
        <w:tblLayout w:type="fixed"/>
        <w:tblCellMar>
          <w:top w:w="0" w:type="dxa"/>
          <w:left w:w="0" w:type="dxa"/>
          <w:bottom w:w="0" w:type="dxa"/>
          <w:right w:w="0" w:type="dxa"/>
        </w:tblCellMar>
      </w:tblPr>
      <w:tblGrid>
        <w:gridCol w:w="4906"/>
        <w:gridCol w:w="346"/>
        <w:gridCol w:w="211"/>
        <w:gridCol w:w="691"/>
        <w:gridCol w:w="346"/>
        <w:gridCol w:w="285"/>
        <w:gridCol w:w="855"/>
        <w:gridCol w:w="391"/>
      </w:tblGrid>
      <w:tr>
        <w:trPr/>
        <w:tc>
          <w:tcPr>
            <w:tcW w:w="4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3115310" cy="175260"/>
                      <wp:effectExtent l="0" t="0" r="0" b="0"/>
                      <wp:wrapNone/>
                      <wp:docPr id="195" name="Frame195"/>
                      <a:graphic xmlns:a="http://schemas.openxmlformats.org/drawingml/2006/main">
                        <a:graphicData uri="http://schemas.microsoft.com/office/word/2010/wordprocessingShape">
                          <wps:wsp>
                            <wps:cNvSpPr txBox="1"/>
                            <wps:spPr>
                              <a:xfrm>
                                <a:off x="0" y="0"/>
                                <a:ext cx="31153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19710" cy="175260"/>
                      <wp:effectExtent l="0" t="0" r="0" b="0"/>
                      <wp:wrapNone/>
                      <wp:docPr id="196" name="Frame19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197" name="Frame19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38785" cy="175260"/>
                      <wp:effectExtent l="0" t="0" r="0" b="0"/>
                      <wp:wrapNone/>
                      <wp:docPr id="198" name="Frame19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19710" cy="175260"/>
                      <wp:effectExtent l="0" t="0" r="0" b="0"/>
                      <wp:wrapNone/>
                      <wp:docPr id="199" name="Frame1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80975" cy="175260"/>
                      <wp:effectExtent l="0" t="0" r="0" b="0"/>
                      <wp:wrapNone/>
                      <wp:docPr id="200" name="Frame20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8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42925" cy="175260"/>
                      <wp:effectExtent l="0" t="0" r="0" b="0"/>
                      <wp:wrapNone/>
                      <wp:docPr id="201" name="Frame201"/>
                      <a:graphic xmlns:a="http://schemas.openxmlformats.org/drawingml/2006/main">
                        <a:graphicData uri="http://schemas.microsoft.com/office/word/2010/wordprocessingShape">
                          <wps:wsp>
                            <wps:cNvSpPr txBox="1"/>
                            <wps:spPr>
                              <a:xfrm>
                                <a:off x="0" y="0"/>
                                <a:ext cx="54292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48285" cy="175260"/>
                      <wp:effectExtent l="0" t="0" r="0" b="0"/>
                      <wp:wrapNone/>
                      <wp:docPr id="202" name="Frame202"/>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90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02"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1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0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Prepaid and Other Current Assets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9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center"/>
              <w:rPr/>
            </w:pPr>
            <w:r>
              <w:rPr/>
              <w:t>​</w:t>
            </w:r>
          </w:p>
        </w:tc>
        <w:tc>
          <w:tcPr>
            <w:tcW w:w="855" w:type="dxa"/>
            <w:tcBorders/>
            <w:shd w:fill="CCEEFF" w:val="clear"/>
            <w:vAlign w:val="center"/>
          </w:tcPr>
          <w:p>
            <w:pPr>
              <w:pStyle w:val="TableContents"/>
              <w:bidi w:val="0"/>
              <w:spacing w:lineRule="auto" w:line="285" w:before="0" w:after="0"/>
              <w:ind w:left="0" w:right="0" w:hanging="0"/>
              <w:jc w:val="center"/>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1,843</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337</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research and development manufacturing expenses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2,919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394</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353</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5,731</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1,427</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Property and Equipment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center"/>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Laboratory equipment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2,996</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Computer equipment and purchased software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3,541</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2,869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 and amortization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(2,649)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830</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Accrued and Other Liabilities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center"/>
              <w:rPr/>
            </w:pPr>
            <w:r>
              <w:rPr/>
              <w:t>​</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clinical trial expense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3,652</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3,566</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manufacturing expense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 </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1,812</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Personnel related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9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1,932</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vAlign w:val="center"/>
          </w:tcPr>
          <w:p>
            <w:pPr>
              <w:pStyle w:val="TableContents"/>
              <w:bidi w:val="0"/>
              <w:spacing w:lineRule="auto" w:line="285" w:before="0" w:after="0"/>
              <w:ind w:left="0" w:right="0" w:hanging="0"/>
              <w:jc w:val="left"/>
              <w:rPr/>
            </w:pPr>
            <w:r>
              <w:rPr/>
              <w:t> </w:t>
            </w:r>
          </w:p>
        </w:tc>
        <w:tc>
          <w:tcPr>
            <w:tcW w:w="85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641</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Accrued legal and accounting</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9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shd w:fill="CCEEFF" w:val="clear"/>
            <w:vAlign w:val="center"/>
          </w:tcPr>
          <w:p>
            <w:pPr>
              <w:pStyle w:val="TableContents"/>
              <w:bidi w:val="0"/>
              <w:spacing w:lineRule="auto" w:line="285" w:before="0" w:after="0"/>
              <w:ind w:left="0" w:right="0" w:hanging="0"/>
              <w:jc w:val="left"/>
              <w:rPr/>
            </w:pPr>
            <w:r>
              <w:rPr/>
              <w:t>​</w:t>
            </w:r>
          </w:p>
        </w:tc>
        <w:tc>
          <w:tcPr>
            <w:tcW w:w="85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49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299</w:t>
            </w:r>
          </w:p>
        </w:tc>
        <w:tc>
          <w:tcPr>
            <w:tcW w:w="346" w:type="dxa"/>
            <w:tcBorders/>
            <w:vAlign w:val="center"/>
          </w:tcPr>
          <w:p>
            <w:pPr>
              <w:pStyle w:val="TableContents"/>
              <w:bidi w:val="0"/>
              <w:spacing w:lineRule="auto" w:line="285" w:before="0" w:after="0"/>
              <w:ind w:left="0" w:right="0" w:hanging="0"/>
              <w:jc w:val="left"/>
              <w:rPr/>
            </w:pPr>
            <w:r>
              <w:rPr/>
              <w:t>​</w:t>
            </w:r>
          </w:p>
        </w:tc>
        <w:tc>
          <w:tcPr>
            <w:tcW w:w="285"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855"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906"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8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55"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6,486</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three months ended June 30, 2026 and 2025, the Company recorded approximately $34,000 and $29,000 in depreciation expense, respectively, and during the six months ended June 30, 2026 and 2025, the Company recorded approximately $63,000 and $51,000 in depreciation expense, respectively.</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9. Warrants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company completed a registered direct offering in which the Company sold an aggregate of 13,512,699 shares of common stock and common warrants to purchase up to 13,078,509 shares of common stock (or pre-funded warrants in lieu thereof) at a combined offering price of $1.7312 per share and common warrant, and pre-funded warrants to purchase up to 4,144,085 shares of common stock and common warrants to purchase up to 4,010,927 shares of common stock (or pre-funded warrants in lieu thereof), at a combined offering price of $1.7311 per share underlying each pre-funded warrant and common warrant, which equals the offering price per share and common warrant less the $0.0001 exercise price per share of the pre-funded warrants.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pre-funded warrants have an exercise price per share of common stock equal to $0.0001 per share. The exercise price and the number of shares of common stock issuable upon exercise of the pre-funded warrants are subject to appropriate adjustments in the event of certain stock dividends and distributions, stock splits, stock combinations, reclassifications or similar events affecting the common stock. The pre-funded warrants are exercisable at any time after the date of issuance. In accordance with accounting guidance discussed in Note 2, the Company recorded $5.0 million to additional paid-in capital upon issuance of the pre-funded warrants on May 6, 2024. In May 2025, an additional 4,131,828 pre-funded warrants were issued in connection with the exercise of common warrants. As of June 30, 2026, none of the pre-funded warrants have been exercised and 8,275,913 pre-funded warrants remain outstanding.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common warrants had an exercise price per share of common stock equal to $3.50 per share (or $3.4999 per pre-funded warrant). The exercise price and the number of shares of common stock (or pre-funded warrants in lieu thereof) issuable upon exercise of the common warrants were subject to appropriate adjustments in the event of certain stock dividends and distributions, stock splits, stock combinations, reclassifications or similar events affecting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common stock. The common warrants were exercisable at any time after the date of issuance and had an expiration date of June 30, 2025. In accordance with accounting guidance discussed in Note 2, “Summary of Significant Accounting Policies,” the Company recorded a decrease in fair value of warrant liability of $2.0 million and $27.1 million to other income in its condensed consolidated statement of operations and comprehensive loss for the three and six months ended June 30, 2025. As of June 30, 2025, the expiration date of the common warrants, all of the common warrants had been exercised, resulting in proceeds of $54.3 million.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066" w:name="Tc_iLdMjtK3t0aA59svmLvVtA_7_0"/>
      <w:bookmarkStart w:id="1067" w:name="Tc_U14rMtOsdUCuwrTjVMXMMg_6_0"/>
      <w:bookmarkStart w:id="1068" w:name="Tc_GHIhViCrWkOnqI8vxbUksA_5_0"/>
      <w:bookmarkStart w:id="1069" w:name="Tc_r3gEoRRbTUWd0HI7JR1JgQ_4_0"/>
      <w:bookmarkStart w:id="1070" w:name="Tc_Knbt-SPsakWcZqFVfRCPXA_3_0"/>
      <w:bookmarkStart w:id="1071" w:name="Tc_4UjkNZI8VEW1keZNt-kJkQ_2_4"/>
      <w:bookmarkStart w:id="1072" w:name="Tc_4Atc4YGXjkKePpZlivndcQ_2_2"/>
      <w:bookmarkStart w:id="1073" w:name="Tc_f7bRAOfmW0as8JVzNklTfQ_1_4"/>
      <w:bookmarkStart w:id="1074" w:name="Tc_xHq5fY8_AEe7TIFmqlkDhQ_1_2"/>
      <w:bookmarkStart w:id="1075" w:name="_dc9c48ff_fe0e_4173_94c3_58376153a5fe"/>
      <w:bookmarkEnd w:id="1066"/>
      <w:bookmarkEnd w:id="1067"/>
      <w:bookmarkEnd w:id="1068"/>
      <w:bookmarkEnd w:id="1069"/>
      <w:bookmarkEnd w:id="1070"/>
      <w:bookmarkEnd w:id="1071"/>
      <w:bookmarkEnd w:id="1072"/>
      <w:bookmarkEnd w:id="1073"/>
      <w:bookmarkEnd w:id="1074"/>
      <w:bookmarkEnd w:id="1075"/>
      <w:r>
        <w:rPr>
          <w:rFonts w:ascii="Times New Roman;Times;serif" w:hAnsi="Times New Roman;Times;serif"/>
          <w:b/>
          <w:sz w:val="20"/>
        </w:rPr>
        <w:t>10. Common Stock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the amended and restated certificate of incorporation authorizes the Company to issue 290 million shares of common stock and 10 million shares of preferred stock.</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Each share of common stock is entitled to one vote. Common stockholders are entitled to dividends if and when declared by the board of directors. As of June 30, 2026, no dividends on common stock had been declared.</w:t>
      </w:r>
    </w:p>
    <w:p>
      <w:pPr>
        <w:pStyle w:val="TextBody"/>
        <w:bidi w:val="0"/>
        <w:spacing w:lineRule="auto" w:line="285" w:before="0" w:after="0"/>
        <w:ind w:left="0" w:right="0" w:hanging="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August 6, 2024, the Company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the Company’s common stock, from time-to-time, with aggregate gross sales proceeds of up to $100.0 million, through an at-the-market equity offering program under which Jefferies will act as its sales agent. The issuance and sale of shares of common stock by the Company pursuant to the 2024 Sales Agreement are deemed an “at-the-market” offering under the Securities Act of 1933, as amended. Jefferies is entitled to compensation for its services up to 3.0% of the gross proceeds of any shares of common stock sold through Jefferies under the 2024 Sales Agreement.</w:t>
      </w:r>
    </w:p>
    <w:p>
      <w:pPr>
        <w:pStyle w:val="TextBody"/>
        <w:bidi w:val="0"/>
        <w:spacing w:lineRule="auto" w:line="285" w:before="0" w:after="0"/>
        <w:ind w:left="0" w:right="0" w:firstLine="720"/>
        <w:jc w:val="left"/>
        <w:rPr/>
      </w:pPr>
      <w:r>
        <w:rPr/>
        <w:t>​</w:t>
      </w:r>
    </w:p>
    <w:p>
      <w:pPr>
        <w:pStyle w:val="TextBody"/>
        <w:bidi w:val="0"/>
        <w:spacing w:lineRule="auto" w:line="240" w:before="0" w:after="0"/>
        <w:ind w:left="0" w:right="0" w:firstLine="720"/>
        <w:jc w:val="left"/>
        <w:rPr>
          <w:rFonts w:ascii="Times New Roman;Times;serif" w:hAnsi="Times New Roman;Times;serif"/>
          <w:sz w:val="20"/>
        </w:rPr>
      </w:pPr>
      <w:r>
        <w:rPr>
          <w:rFonts w:ascii="Times New Roman;Times;serif" w:hAnsi="Times New Roman;Times;serif"/>
          <w:sz w:val="20"/>
        </w:rPr>
        <w:t>On January 20, 2026, in connection with the January 2026 financing, as further described in Note 1, the Company suspended the offering of any shares of its common stock under the 2024 Sales Agreement and, on March 13, 2026, the Company entered into an Amended and Restated Open Market Sale Agreement</w:t>
      </w:r>
      <w:r>
        <w:rPr>
          <w:rFonts w:ascii="Times New Roman;Times;serif" w:hAnsi="Times New Roman;Times;serif"/>
          <w:sz w:val="15"/>
        </w:rPr>
        <w:t>SM</w:t>
      </w:r>
      <w:r>
        <w:rPr>
          <w:rFonts w:ascii="Times New Roman;Times;serif" w:hAnsi="Times New Roman;Times;serif"/>
          <w:sz w:val="20"/>
        </w:rPr>
        <w:t>, dated March 13, 2026 (the “Amended Sales Agreement”), with Jefferies, which amends and restates the 2024 Sales Agreement to increase the maximum aggregate offering price of shares of the Company’s common stock from $100.0 million to $200.0 million.</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the Company did not sell any shares of common stock under its at-the-market offering program. As of June 30, 2026, $200.0 million remained available for sale under the Amended Sales Agreement.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 has reserved shares of common stock for issuance as follows:</w:t>
      </w:r>
    </w:p>
    <w:p>
      <w:pPr>
        <w:pStyle w:val="TextBody"/>
        <w:bidi w:val="0"/>
        <w:spacing w:lineRule="auto" w:line="285" w:before="0" w:after="0"/>
        <w:ind w:left="0" w:right="0" w:hanging="0"/>
        <w:jc w:val="left"/>
        <w:rPr/>
      </w:pPr>
      <w:r>
        <w:rPr/>
        <w:t>​</w:t>
      </w:r>
    </w:p>
    <w:tbl>
      <w:tblPr>
        <w:tblW w:w="7386" w:type="dxa"/>
        <w:jc w:val="left"/>
        <w:tblInd w:w="0" w:type="dxa"/>
        <w:tblLayout w:type="fixed"/>
        <w:tblCellMar>
          <w:top w:w="0" w:type="dxa"/>
          <w:left w:w="0" w:type="dxa"/>
          <w:bottom w:w="0" w:type="dxa"/>
          <w:right w:w="0" w:type="dxa"/>
        </w:tblCellMar>
      </w:tblPr>
      <w:tblGrid>
        <w:gridCol w:w="4126"/>
        <w:gridCol w:w="346"/>
        <w:gridCol w:w="1036"/>
        <w:gridCol w:w="346"/>
        <w:gridCol w:w="1141"/>
        <w:gridCol w:w="391"/>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2620010" cy="175260"/>
                      <wp:effectExtent l="0" t="0" r="0" b="0"/>
                      <wp:wrapNone/>
                      <wp:docPr id="203" name="Frame203"/>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19710" cy="175260"/>
                      <wp:effectExtent l="0" t="0" r="0" b="0"/>
                      <wp:wrapNone/>
                      <wp:docPr id="204" name="Frame20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57860" cy="175260"/>
                      <wp:effectExtent l="0" t="0" r="0" b="0"/>
                      <wp:wrapNone/>
                      <wp:docPr id="205" name="Frame20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9710" cy="175260"/>
                      <wp:effectExtent l="0" t="0" r="0" b="0"/>
                      <wp:wrapNone/>
                      <wp:docPr id="206" name="Frame20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724535" cy="175260"/>
                      <wp:effectExtent l="0" t="0" r="0" b="0"/>
                      <wp:wrapNone/>
                      <wp:docPr id="207" name="Frame2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248285" cy="175260"/>
                      <wp:effectExtent l="0" t="0" r="0" b="0"/>
                      <wp:wrapNone/>
                      <wp:docPr id="208" name="Frame208"/>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center"/>
              <w:rPr/>
            </w:pPr>
            <w:r>
              <w:rPr/>
              <w:t>​</w:t>
            </w:r>
          </w:p>
        </w:tc>
        <w:tc>
          <w:tcPr>
            <w:tcW w:w="11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12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Pre-funded warrants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8,275,913</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available for future option grants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6,431,034</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Outstanding options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13,253,806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41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Shares reserved for employee stock purchase plan</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46" w:type="dxa"/>
            <w:tcBorders/>
            <w:vAlign w:val="center"/>
          </w:tcPr>
          <w:p>
            <w:pPr>
              <w:pStyle w:val="TableContents"/>
              <w:bidi w:val="0"/>
              <w:spacing w:lineRule="auto" w:line="285"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400,000</w:t>
            </w:r>
          </w:p>
        </w:tc>
        <w:tc>
          <w:tcPr>
            <w:tcW w:w="391" w:type="dxa"/>
            <w:tcBorders/>
            <w:vAlign w:val="center"/>
          </w:tcPr>
          <w:p>
            <w:pPr>
              <w:pStyle w:val="TableContents"/>
              <w:bidi w:val="0"/>
              <w:spacing w:lineRule="auto" w:line="285" w:before="0" w:after="0"/>
              <w:ind w:left="0" w:right="0" w:hanging="0"/>
              <w:jc w:val="left"/>
              <w:rPr/>
            </w:pPr>
            <w:r>
              <w:rPr/>
              <w:t> </w:t>
            </w:r>
          </w:p>
        </w:tc>
      </w:tr>
      <w:tr>
        <w:trPr/>
        <w:tc>
          <w:tcPr>
            <w:tcW w:w="41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28,360,753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25,711,425</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11. Stock Option Plans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In February 2014, the Company adopted the 2014 Equity Incentive Plan (the “2014 Plan”), which was subsequently amended in November 2014, July 2015 and September 2015, under which it granted incentive stock options (“ISOs”) or non-qualified stock options (“NSOs”). Terms of stock agreements, including vesting requirements, are determined by the board of directors or a committee authorized by the board of directors, subject to the provisions of the 2014 Plan. In general, awards granted by the Company vest over four years and have a maximum exercise term of 10 years. The 2014 Plan provides that grants must be at an exercise price of 100% of fair market value of the Company’s common stock as determined by the board of directors on the date of the grant.</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connection with the consummation of the IPO in March 2016, the 2016 Equity Incentive Award Plan (the “2016 Plan”) became effective. Under the 2016 Plan, ISOs, NSOs, stock purchase rights and other stock-based awards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076" w:name="Tc_VqqoUgAGnkaOQjHFtFqQ8A_11_6"/>
      <w:bookmarkStart w:id="1077" w:name="Tc_ydQMBypPy0ymcf9HH1Zu7g_11_0"/>
      <w:bookmarkStart w:id="1078" w:name="Tc_nF7n7z8d8kCIcBh7AAzzHA_10_0"/>
      <w:bookmarkStart w:id="1079" w:name="Tc_AzDAZzbT3E2FGJrx7Fo_VQ_9_2"/>
      <w:bookmarkStart w:id="1080" w:name="Tc_t-8b6Z4lHkOVmJ6ny5hTsA_9_0"/>
      <w:bookmarkStart w:id="1081" w:name="Tc_87R-AfWAP0WT1247c3NGnw_8_0"/>
      <w:bookmarkStart w:id="1082" w:name="Tc_JZwMH086NEmLI4M8IgiUQQ_7_7"/>
      <w:bookmarkStart w:id="1083" w:name="Tc_EqrHKsAy0ky5rT_tjek23w_7_4"/>
      <w:bookmarkStart w:id="1084" w:name="Tc_Tnw03iCwg0aaGewLFELeMg_7_0"/>
      <w:bookmarkStart w:id="1085" w:name="Tc_YsCdA_0k6kCg5dt8TwIKsw_6_6"/>
      <w:bookmarkStart w:id="1086" w:name="Tc_be4O7SS5JU2obWi4MaFlZQ_6_0"/>
      <w:bookmarkStart w:id="1087" w:name="Tc_8cwHS0SMHEe5p6UypIOuTw_5_6"/>
      <w:bookmarkStart w:id="1088" w:name="Tc_NNNx1bnmb0qcAzBw3O3tWg_5_4"/>
      <w:bookmarkStart w:id="1089" w:name="Tc_TxoYpFEw80mDhVNrlXGdzg_5_2"/>
      <w:bookmarkStart w:id="1090" w:name="Tc_-9DEwdtT60u-NX_KvJP3Fg_4_6"/>
      <w:bookmarkStart w:id="1091" w:name="Tc_UdZi0JFfmkm7QOxkA-zM7g_4_4"/>
      <w:bookmarkStart w:id="1092" w:name="Tc_aQ8UsDkj9EW8ormmD83asw_4_2"/>
      <w:bookmarkStart w:id="1093" w:name="Tc_BeUFf5wdLUqjqpluYEdh_Q_3_6"/>
      <w:bookmarkStart w:id="1094" w:name="Tc_tigrfrXhr0m0nPL7mOOgMw_3_2"/>
      <w:bookmarkStart w:id="1095" w:name="Tc_d-aHYQUYok-7LAX_waOb6g_2_6"/>
      <w:bookmarkStart w:id="1096" w:name="Tc_CpiaYqYVIU6znsyfk0IhnQ_1_4"/>
      <w:bookmarkStart w:id="1097" w:name="_591b3c18_6ebb_4b94_9df2_296f0984d3ce"/>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bookmarkEnd w:id="1097"/>
      <w:r>
        <w:rPr>
          <w:rFonts w:ascii="Times New Roman;Times;serif" w:hAnsi="Times New Roman;Times;serif"/>
          <w:sz w:val="20"/>
        </w:rPr>
        <w:t>may be granted. Terms of stock agreements, including vesting requirements, are determined by the board of directors or a committee authorized by the board of directors, subject to the provisions of the 2016 Plan. In general, awards granted by the Company vest over four years and have a maximum exercise term of 10 years. The 2016 Plan provides that grants must be at an exercise price of 100% of fair market value of the Company’s common stock as determined by the board of directors on the date of the grant. In conjunction with adopting the 2016 Plan, the 2014 Plan was terminated and no further awards will be granted under the 2014 Plan. Options outstanding under the 2014 Plan as of the effective date of the 2016 Plan that are forfeited or lapse unexercised may be re-issued under the 2016 Plan, up to a maximum of 1,136,229 shares.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Activity under the Company’s stock option plans is set forth below:</w:t>
      </w:r>
    </w:p>
    <w:p>
      <w:pPr>
        <w:pStyle w:val="TextBody"/>
        <w:bidi w:val="0"/>
        <w:spacing w:lineRule="auto" w:line="285" w:before="0" w:after="0"/>
        <w:ind w:left="0" w:right="0" w:hanging="0"/>
        <w:jc w:val="left"/>
        <w:rPr/>
      </w:pPr>
      <w:r>
        <w:rPr/>
        <w:t>​</w:t>
      </w:r>
    </w:p>
    <w:tbl>
      <w:tblPr>
        <w:tblW w:w="6547" w:type="dxa"/>
        <w:jc w:val="left"/>
        <w:tblInd w:w="0" w:type="dxa"/>
        <w:tblLayout w:type="fixed"/>
        <w:tblCellMar>
          <w:top w:w="0" w:type="dxa"/>
          <w:left w:w="0" w:type="dxa"/>
          <w:bottom w:w="0" w:type="dxa"/>
          <w:right w:w="0" w:type="dxa"/>
        </w:tblCellMar>
      </w:tblPr>
      <w:tblGrid>
        <w:gridCol w:w="2596"/>
        <w:gridCol w:w="346"/>
        <w:gridCol w:w="931"/>
        <w:gridCol w:w="346"/>
        <w:gridCol w:w="1036"/>
        <w:gridCol w:w="346"/>
        <w:gridCol w:w="241"/>
        <w:gridCol w:w="705"/>
      </w:tblGrid>
      <w:tr>
        <w:trPr/>
        <w:tc>
          <w:tcPr>
            <w:tcW w:w="25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1648460" cy="175260"/>
                      <wp:effectExtent l="0" t="0" r="0" b="0"/>
                      <wp:wrapNone/>
                      <wp:docPr id="209" name="Frame209"/>
                      <a:graphic xmlns:a="http://schemas.openxmlformats.org/drawingml/2006/main">
                        <a:graphicData uri="http://schemas.microsoft.com/office/word/2010/wordprocessingShape">
                          <wps:wsp>
                            <wps:cNvSpPr txBox="1"/>
                            <wps:spPr>
                              <a:xfrm>
                                <a:off x="0" y="0"/>
                                <a:ext cx="1648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219710" cy="175260"/>
                      <wp:effectExtent l="0" t="0" r="0" b="0"/>
                      <wp:wrapNone/>
                      <wp:docPr id="210" name="Frame2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91185" cy="175260"/>
                      <wp:effectExtent l="0" t="0" r="0" b="0"/>
                      <wp:wrapNone/>
                      <wp:docPr id="211" name="Frame21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219710" cy="175260"/>
                      <wp:effectExtent l="0" t="0" r="0" b="0"/>
                      <wp:wrapNone/>
                      <wp:docPr id="212" name="Frame21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57860" cy="175260"/>
                      <wp:effectExtent l="0" t="0" r="0" b="0"/>
                      <wp:wrapNone/>
                      <wp:docPr id="213" name="Frame213"/>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219710" cy="175260"/>
                      <wp:effectExtent l="0" t="0" r="0" b="0"/>
                      <wp:wrapNone/>
                      <wp:docPr id="214" name="Frame2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153035" cy="175260"/>
                      <wp:effectExtent l="0" t="0" r="0" b="0"/>
                      <wp:wrapNone/>
                      <wp:docPr id="215" name="Frame215"/>
                      <a:graphic xmlns:a="http://schemas.openxmlformats.org/drawingml/2006/main">
                        <a:graphicData uri="http://schemas.microsoft.com/office/word/2010/wordprocessingShape">
                          <wps:wsp>
                            <wps:cNvSpPr txBox="1"/>
                            <wps:spPr>
                              <a:xfrm>
                                <a:off x="0" y="0"/>
                                <a:ext cx="1530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447675" cy="175260"/>
                      <wp:effectExtent l="0" t="0" r="0" b="0"/>
                      <wp:wrapNone/>
                      <wp:docPr id="216" name="Frame216"/>
                      <a:graphic xmlns:a="http://schemas.openxmlformats.org/drawingml/2006/main">
                        <a:graphicData uri="http://schemas.microsoft.com/office/word/2010/wordprocessingShape">
                          <wps:wsp>
                            <wps:cNvSpPr txBox="1"/>
                            <wps:spPr>
                              <a:xfrm>
                                <a:off x="0" y="0"/>
                                <a:ext cx="44767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328" w:type="dxa"/>
            <w:gridSpan w:val="4"/>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 Outstanding</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Weighted</w:t>
            </w:r>
            <w:r>
              <w:rPr>
                <w:rFonts w:ascii="Times New Roman;Times;serif" w:hAnsi="Times New Roman;Times;serif"/>
                <w:sz w:val="16"/>
              </w:rPr>
              <w:t> </w:t>
              <w:noBreakHyphen/>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Available</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46" w:type="dxa"/>
            <w:tcBorders/>
            <w:vAlign w:val="center"/>
          </w:tcPr>
          <w:p>
            <w:pPr>
              <w:pStyle w:val="TableContents"/>
              <w:bidi w:val="0"/>
              <w:spacing w:lineRule="auto" w:line="285" w:before="0" w:after="0"/>
              <w:ind w:left="0" w:right="0" w:hanging="0"/>
              <w:jc w:val="left"/>
              <w:rPr/>
            </w:pPr>
            <w:r>
              <w:rPr/>
              <w:t>​</w:t>
            </w:r>
          </w:p>
        </w:tc>
        <w:tc>
          <w:tcPr>
            <w:tcW w:w="94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r>
      <w:tr>
        <w:trPr/>
        <w:tc>
          <w:tcPr>
            <w:tcW w:w="259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93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 Grant</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46" w:type="dxa"/>
            <w:tcBorders/>
            <w:vAlign w:val="center"/>
          </w:tcPr>
          <w:p>
            <w:pPr>
              <w:pStyle w:val="TableContents"/>
              <w:bidi w:val="0"/>
              <w:spacing w:lineRule="auto" w:line="285" w:before="0" w:after="0"/>
              <w:ind w:left="0" w:right="0" w:hanging="0"/>
              <w:jc w:val="left"/>
              <w:rPr/>
            </w:pPr>
            <w:r>
              <w:rPr/>
              <w:t>  ​ ​ ​</w:t>
            </w:r>
          </w:p>
        </w:tc>
        <w:tc>
          <w:tcPr>
            <w:tcW w:w="94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December 31, 2025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3,007,335</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14,028,177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5.20</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Additional shares authorized</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2,987,865</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705" w:type="dxa"/>
            <w:tcBorders/>
            <w:vAlign w:val="center"/>
          </w:tcPr>
          <w:p>
            <w:pPr>
              <w:pStyle w:val="TableContents"/>
              <w:bidi w:val="0"/>
              <w:spacing w:lineRule="auto" w:line="285" w:before="0" w:after="0"/>
              <w:ind w:left="0" w:right="0" w:hanging="0"/>
              <w:jc w:val="right"/>
              <w:rPr/>
            </w:pPr>
            <w:r>
              <w:rPr/>
              <w:t>—</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granted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(240,500)</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240,500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12.73</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 xml:space="preserve">Options exercised </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(338,537)</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pPr>
            <w:r>
              <w:rPr/>
              <w:t> </w:t>
            </w:r>
          </w:p>
        </w:tc>
        <w:tc>
          <w:tcPr>
            <w:tcW w:w="705"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4.44</w:t>
            </w:r>
          </w:p>
        </w:tc>
      </w:tr>
      <w:tr>
        <w:trPr/>
        <w:tc>
          <w:tcPr>
            <w:tcW w:w="259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Options forfeited</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676,334</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(676,334)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41" w:type="dxa"/>
            <w:tcBorders/>
            <w:shd w:fill="CCEEFF" w:val="clear"/>
            <w:vAlign w:val="center"/>
          </w:tcPr>
          <w:p>
            <w:pPr>
              <w:pStyle w:val="TableContents"/>
              <w:bidi w:val="0"/>
              <w:spacing w:lineRule="auto" w:line="285" w:before="0" w:after="0"/>
              <w:ind w:left="0" w:right="0" w:hanging="0"/>
              <w:jc w:val="left"/>
              <w:rPr/>
            </w:pPr>
            <w:r>
              <w:rPr/>
              <w:t> </w:t>
            </w:r>
          </w:p>
        </w:tc>
        <w:tc>
          <w:tcPr>
            <w:tcW w:w="705"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14.01</w:t>
            </w:r>
          </w:p>
        </w:tc>
      </w:tr>
      <w:tr>
        <w:trPr/>
        <w:tc>
          <w:tcPr>
            <w:tcW w:w="259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Balance at June 30, 2026</w:t>
            </w:r>
          </w:p>
        </w:tc>
        <w:tc>
          <w:tcPr>
            <w:tcW w:w="346" w:type="dxa"/>
            <w:tcBorders/>
            <w:vAlign w:val="center"/>
          </w:tcPr>
          <w:p>
            <w:pPr>
              <w:pStyle w:val="TableContents"/>
              <w:bidi w:val="0"/>
              <w:spacing w:lineRule="auto" w:line="285"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6,431,034</w:t>
            </w:r>
          </w:p>
        </w:tc>
        <w:tc>
          <w:tcPr>
            <w:tcW w:w="346" w:type="dxa"/>
            <w:tcBorders/>
            <w:vAlign w:val="center"/>
          </w:tcPr>
          <w:p>
            <w:pPr>
              <w:pStyle w:val="TableContents"/>
              <w:bidi w:val="0"/>
              <w:spacing w:lineRule="auto" w:line="285"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13,253,806</w:t>
            </w:r>
          </w:p>
        </w:tc>
        <w:tc>
          <w:tcPr>
            <w:tcW w:w="346" w:type="dxa"/>
            <w:tcBorders/>
            <w:vAlign w:val="center"/>
          </w:tcPr>
          <w:p>
            <w:pPr>
              <w:pStyle w:val="TableContents"/>
              <w:bidi w:val="0"/>
              <w:spacing w:lineRule="auto" w:line="285" w:before="0" w:after="0"/>
              <w:ind w:left="0" w:right="0" w:hanging="0"/>
              <w:jc w:val="left"/>
              <w:rPr/>
            </w:pPr>
            <w:r>
              <w:rPr/>
              <w:t>​</w:t>
            </w:r>
          </w:p>
        </w:tc>
        <w:tc>
          <w:tcPr>
            <w:tcW w:w="2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4.90</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098" w:name="Tc_sBsvcTI7kEe_58m4ZmJOyg_6_11"/>
      <w:bookmarkStart w:id="1099" w:name="Tc_6IQu-v2i_Uy2orfLAnYBcg_6_8"/>
      <w:bookmarkStart w:id="1100" w:name="Tc_ltsktXNdBUiRK0yTCsZ3nQ_6_5"/>
      <w:bookmarkStart w:id="1101" w:name="Tc_LYKsjPQcBEucTaQgbviiZQ_6_2"/>
      <w:bookmarkStart w:id="1102" w:name="Tc_CNjFYxoBrUaCymN8a0AU7A_6_0"/>
      <w:bookmarkStart w:id="1103" w:name="Tc_FVyrsgqifEeA46B3ytnP3Q_5_0"/>
      <w:bookmarkStart w:id="1104" w:name="Tc__9wi2fT6BE2A1alXjWZv5A_4_11"/>
      <w:bookmarkStart w:id="1105" w:name="Tc_FV3H6Q2pX06ZWP-T5vcfQA_4_8"/>
      <w:bookmarkStart w:id="1106" w:name="Tc_Gyeb38LMOkeFjJRbUXSLxA_4_5"/>
      <w:bookmarkStart w:id="1107" w:name="Tc_bETRTLjZRkmMEDfx-twFXg_4_2"/>
      <w:bookmarkStart w:id="1108" w:name="Tc_I5KZri5Ykkec1v21Pknq6Q_4_0"/>
      <w:bookmarkStart w:id="1109" w:name="Tc_NQgDXsWMjUesNb3R_A8xEQ_3_11"/>
      <w:bookmarkStart w:id="1110" w:name="Tc_tdIweRa5ukSwFVdC0u5-Ig_3_8"/>
      <w:bookmarkStart w:id="1111" w:name="Tc_ydjy4ZgjIkiSFozXYaGkrg_3_5"/>
      <w:bookmarkStart w:id="1112" w:name="Tc_17u_ZPSTu0KgEwZh1NCERg_3_2"/>
      <w:bookmarkStart w:id="1113" w:name="Tc_cXH9oYBv2Ua4AcSYe6rxpw_2_8"/>
      <w:bookmarkStart w:id="1114" w:name="Tc_AZsj7Avna0OhFhZlu7P7_A_2_2"/>
      <w:bookmarkStart w:id="1115" w:name="Tc_EXej1DcQXUq6QLF6IgxnlQ_1_8"/>
      <w:bookmarkStart w:id="1116" w:name="Tc_HANZg9hVuU2oT2cbWOZNJQ_1_2"/>
      <w:bookmarkStart w:id="1117" w:name="_612082e7_baf5_4f1b_ac11_dbd3d5a4800d"/>
      <w:bookmarkEnd w:id="1098"/>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r>
        <w:rPr>
          <w:rFonts w:ascii="Times New Roman;Times;serif" w:hAnsi="Times New Roman;Times;serif"/>
          <w:b/>
          <w:sz w:val="20"/>
        </w:rPr>
        <w:t>12. Stock-Based Compensation</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Company’s results of operations include expenses relating to employee and non-employee stock-based awards as follows (in thousands):</w:t>
      </w:r>
    </w:p>
    <w:p>
      <w:pPr>
        <w:pStyle w:val="TextBody"/>
        <w:bidi w:val="0"/>
        <w:spacing w:lineRule="auto" w:line="285" w:before="0" w:after="0"/>
        <w:ind w:left="0" w:right="0" w:firstLine="720"/>
        <w:jc w:val="left"/>
        <w:rPr/>
      </w:pPr>
      <w:r>
        <w:rPr/>
        <w:t>​</w:t>
      </w:r>
    </w:p>
    <w:tbl>
      <w:tblPr>
        <w:tblW w:w="7214" w:type="dxa"/>
        <w:jc w:val="left"/>
        <w:tblInd w:w="0" w:type="dxa"/>
        <w:tblLayout w:type="fixed"/>
        <w:tblCellMar>
          <w:top w:w="0" w:type="dxa"/>
          <w:left w:w="0" w:type="dxa"/>
          <w:bottom w:w="0" w:type="dxa"/>
          <w:right w:w="0" w:type="dxa"/>
        </w:tblCellMar>
      </w:tblPr>
      <w:tblGrid>
        <w:gridCol w:w="2311"/>
        <w:gridCol w:w="346"/>
        <w:gridCol w:w="211"/>
        <w:gridCol w:w="571"/>
        <w:gridCol w:w="346"/>
        <w:gridCol w:w="211"/>
        <w:gridCol w:w="571"/>
        <w:gridCol w:w="346"/>
        <w:gridCol w:w="211"/>
        <w:gridCol w:w="571"/>
        <w:gridCol w:w="346"/>
        <w:gridCol w:w="211"/>
        <w:gridCol w:w="571"/>
        <w:gridCol w:w="391"/>
      </w:tblGrid>
      <w:tr>
        <w:trPr/>
        <w:tc>
          <w:tcPr>
            <w:tcW w:w="23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467485" cy="175260"/>
                      <wp:effectExtent l="0" t="0" r="0" b="0"/>
                      <wp:wrapNone/>
                      <wp:docPr id="217" name="Frame217"/>
                      <a:graphic xmlns:a="http://schemas.openxmlformats.org/drawingml/2006/main">
                        <a:graphicData uri="http://schemas.microsoft.com/office/word/2010/wordprocessingShape">
                          <wps:wsp>
                            <wps:cNvSpPr txBox="1"/>
                            <wps:spPr>
                              <a:xfrm>
                                <a:off x="0" y="0"/>
                                <a:ext cx="14674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19710" cy="175260"/>
                      <wp:effectExtent l="0" t="0" r="0" b="0"/>
                      <wp:wrapNone/>
                      <wp:docPr id="218" name="Frame21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33985" cy="175260"/>
                      <wp:effectExtent l="0" t="0" r="0" b="0"/>
                      <wp:wrapNone/>
                      <wp:docPr id="219" name="Frame2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362585" cy="175260"/>
                      <wp:effectExtent l="0" t="0" r="0" b="0"/>
                      <wp:wrapNone/>
                      <wp:docPr id="220" name="Frame220"/>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219710" cy="175260"/>
                      <wp:effectExtent l="0" t="0" r="0" b="0"/>
                      <wp:wrapNone/>
                      <wp:docPr id="221" name="Frame22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3985" cy="175260"/>
                      <wp:effectExtent l="0" t="0" r="0" b="0"/>
                      <wp:wrapNone/>
                      <wp:docPr id="222" name="Frame2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362585" cy="175260"/>
                      <wp:effectExtent l="0" t="0" r="0" b="0"/>
                      <wp:wrapNone/>
                      <wp:docPr id="223" name="Frame22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19710" cy="175260"/>
                      <wp:effectExtent l="0" t="0" r="0" b="0"/>
                      <wp:wrapNone/>
                      <wp:docPr id="224" name="Frame22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3985" cy="175260"/>
                      <wp:effectExtent l="0" t="0" r="0" b="0"/>
                      <wp:wrapNone/>
                      <wp:docPr id="225" name="Frame22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362585" cy="175260"/>
                      <wp:effectExtent l="0" t="0" r="0" b="0"/>
                      <wp:wrapNone/>
                      <wp:docPr id="226" name="Frame22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19710" cy="175260"/>
                      <wp:effectExtent l="0" t="0" r="0" b="0"/>
                      <wp:wrapNone/>
                      <wp:docPr id="227" name="Frame22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133985" cy="175260"/>
                      <wp:effectExtent l="0" t="0" r="0" b="0"/>
                      <wp:wrapNone/>
                      <wp:docPr id="228" name="Frame2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362585" cy="175260"/>
                      <wp:effectExtent l="0" t="0" r="0" b="0"/>
                      <wp:wrapNone/>
                      <wp:docPr id="229" name="Frame22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48285" cy="175260"/>
                      <wp:effectExtent l="0" t="0" r="0" b="0"/>
                      <wp:wrapNone/>
                      <wp:docPr id="230" name="Frame230"/>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191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1,095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1,069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23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3,087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1,438</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3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2,609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1,256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5,259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2,507</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13. Income Taxes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and 2025, the Company recorded no income tax benefits for the net operating losses (NOLs) incurred due to the uncertainty of realizing a benefit from those items. The Company continues to maintain a full valuation allowance against its net deferred tax assets.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14. Facility 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On October 22, 2024, the Company entered into an operating sub-sublease agreement, pursuant to which the Company sub-leased approximately 20,916 square feet of office and lab space. The sub-sublease has a term of three years commencing on February 21, 2025 with an option to extend at fair market value for an additional 27 months. The Company records rent expense on a straight-line basis over the effective term of the lease, including any free rent periods and incentives. As the interest rate implicit in lease arrangements is typically not readily available, in calculating the present value of the lease payments, the Company has utilized its incremental borrowing rate, which is determined based on the prevailing market rates for collateralized debt with maturity dates commensurate with the term of its 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Company’s obligation for the payment of base rent for the premises began on the commencement date and is initially $33,833 per month, up to monthly base rent of $47,200 during the third year of the sub-sublease. In addition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118" w:name="Tc_U8lmeGA5BE6UCFMHnL2hGQ_6_2"/>
      <w:bookmarkStart w:id="1119" w:name="Tc_dVcSf1LsdkqoTDcggEGx4w_6_0"/>
      <w:bookmarkStart w:id="1120" w:name="Tc_OleLzM2FrE-4kUeXQVc2Eg_5_0"/>
      <w:bookmarkStart w:id="1121" w:name="Tc_8eoBWpIbFkq-x5lBTQmSNA_4_0"/>
      <w:bookmarkStart w:id="1122" w:name="Tc__np2JRGlXUK55zmUbusFjw_3_0"/>
      <w:bookmarkStart w:id="1123" w:name="Tc_baJR0oKAM0SlEaCtg8oKwQ_2_2"/>
      <w:bookmarkStart w:id="1124" w:name="Tc_8wdObYNrD0in9vYv2I34ng_2_0"/>
      <w:bookmarkStart w:id="1125" w:name="Tc_eKTItjdAcUWL0DOnIgMmMg_1_0"/>
      <w:bookmarkStart w:id="1126" w:name="_5f7408f4_6261_4710_bd00_c7272d1be5c5"/>
      <w:bookmarkStart w:id="1127" w:name="Tc_eTbFD6HTi0uGsUDGmE2PJw_6_2"/>
      <w:bookmarkStart w:id="1128" w:name="Tc_m1zVmSXo6UOnc7TGdNkVkw_6_0"/>
      <w:bookmarkStart w:id="1129" w:name="Tc_tfnKVx20zECRE064w9foLg_5_0"/>
      <w:bookmarkStart w:id="1130" w:name="Tc_WjxoMbbmvE6LKIQiW34OjA_4_0"/>
      <w:bookmarkStart w:id="1131" w:name="Tc_iWqR5XnIkEKCNPzqO0MYCQ_3_0"/>
      <w:bookmarkStart w:id="1132" w:name="Tc_bb96s4zLzk6ENpl4C65Bow_2_2"/>
      <w:bookmarkStart w:id="1133" w:name="Tc_-lMmgupaK0SrHoxiggNpQQ_2_0"/>
      <w:bookmarkStart w:id="1134" w:name="Tc_0e34g6BuT0uxxuQgu8uPFQ_1_0"/>
      <w:bookmarkStart w:id="1135" w:name="_9d4f7e36_53ea_4720_9bc0_537a022197d2"/>
      <w:bookmarkStart w:id="1136" w:name="Tc_PTD0Me17gUquIY6oCFDwew_11_0"/>
      <w:bookmarkStart w:id="1137" w:name="Tc_N9FMRALKb0aEWoXp5Rygog_10_14"/>
      <w:bookmarkStart w:id="1138" w:name="Tc_B6cAL0CWPU2VLxgxSGfH_Q_10_11"/>
      <w:bookmarkStart w:id="1139" w:name="Tc_uygFVyihj0WGbYerEzWKxg_10_8"/>
      <w:bookmarkStart w:id="1140" w:name="Tc_cRW7alLWIEusHWOTdrSDEg_10_5"/>
      <w:bookmarkStart w:id="1141" w:name="Tc_phJyA7PFp0-sFaA24gqWLg_10_0"/>
      <w:bookmarkStart w:id="1142" w:name="Tc_6gpBZ_P9GEeal22nxAEfXw_9_13"/>
      <w:bookmarkStart w:id="1143" w:name="Tc_LmSdWErzcketZ27SfW5TQw_9_10"/>
      <w:bookmarkStart w:id="1144" w:name="Tc_-hwg_90LK0WoQsJbG97_9A_9_7"/>
      <w:bookmarkStart w:id="1145" w:name="Tc_fNCP7EAF-E6ytMNffZ1NbQ_9_4"/>
      <w:bookmarkStart w:id="1146" w:name="Tc_4btpdf6yhkazFoae_G4vrw_9_0"/>
      <w:bookmarkStart w:id="1147" w:name="Tc_DXcq9cpxakG215BiLux7Eg_8_0"/>
      <w:bookmarkStart w:id="1148" w:name="Tc_bhS33MGFOkqjzzywh_ZelQ_7_13"/>
      <w:bookmarkStart w:id="1149" w:name="Tc_p3htDldri0ScKspE2NdXuA_7_10"/>
      <w:bookmarkStart w:id="1150" w:name="Tc_deqNpBImSU2oLE2ILVTfeQ_7_7"/>
      <w:bookmarkStart w:id="1151" w:name="Tc_LH7ad2tx60Cc09KLDViqYg_7_4"/>
      <w:bookmarkStart w:id="1152" w:name="Tc_-GmZpnlXmkavLfzxHt_nQw_7_0"/>
      <w:bookmarkStart w:id="1153" w:name="Tc_Rl1Q8FGMckSceOg2z_yDmw_6_2"/>
      <w:bookmarkStart w:id="1154" w:name="Tc_3y3ipdPHkECFKU69s9w1FQ_6_0"/>
      <w:bookmarkStart w:id="1155" w:name="Tc_KfUdMF_MEEqelC6pQuyIKA_5_13"/>
      <w:bookmarkStart w:id="1156" w:name="Tc_H2EU6G8D9EaV6AyJ6ySvvQ_5_10"/>
      <w:bookmarkStart w:id="1157" w:name="Tc_5AxyZVNmvUCKJ6MXF9kbBQ_5_7"/>
      <w:bookmarkStart w:id="1158" w:name="Tc_QJpxWAL6oUGij64cS35P1Q_5_4"/>
      <w:bookmarkStart w:id="1159" w:name="Tc_hts7_yhVJUyr72knTKrIoA_5_2"/>
      <w:bookmarkStart w:id="1160" w:name="Tc_OXuCbQ_ytEaqhmTVVhlJNw_5_0"/>
      <w:bookmarkStart w:id="1161" w:name="Tc_9rBOS_x0eU6OX7CQ1oQxbw_4_0"/>
      <w:bookmarkStart w:id="1162" w:name="Tc_T_ZM9Pgi_EiXgp7dgWzzgw_3_13"/>
      <w:bookmarkStart w:id="1163" w:name="Tc_8nqcw3hpsk2BhJiLIkrQtw_3_10"/>
      <w:bookmarkStart w:id="1164" w:name="Tc_w-rNxyys8kKdZhbsPm2CfQ_3_7"/>
      <w:bookmarkStart w:id="1165" w:name="Tc_MWzSucDwoku3llP4VUW-ug_3_4"/>
      <w:bookmarkStart w:id="1166" w:name="Tc_eJxhj0-C5U6er9DZIxcT6A_3_2"/>
      <w:bookmarkStart w:id="1167" w:name="Tc_f3mOBvrawUKtK3GAa76W3g_2_10"/>
      <w:bookmarkStart w:id="1168" w:name="Tc_1W3JFWzg9EeG6p_tiNk0aQ_2_4"/>
      <w:bookmarkStart w:id="1169" w:name="Tc_s0rj8vcbRkmzZfgYi8mN5g_2_2"/>
      <w:bookmarkStart w:id="1170" w:name="Tc_NC3BrkjOTUy-V8Zrs_MR7A_1_10"/>
      <w:bookmarkStart w:id="1171" w:name="Tc_9_2ZBTZ420iX6U-2GV-W8A_1_4"/>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r>
        <w:rPr>
          <w:rFonts w:ascii="Times New Roman;Times;serif" w:hAnsi="Times New Roman;Times;serif"/>
          <w:sz w:val="20"/>
        </w:rPr>
        <w:t>to base rent, the Company is obligated to pay its proportionate share of taxes, insurance and operating expenses. In November 2024, the Company paid the sublandlord $231,235 in prepaid rent, which was applied to the monthly base rent and the Company’s proportionate share of additional expenses for the first three months of the term of the sub-sublease.</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Although the non-cancellable lease term commenced on February 21, 2025, for purposes of determining the right-of-use asset balance, in accordance with ASC Topic 842, the Company used November 25, 2024 as the commencement date, the date on which the sublandlord granted the Company access to the premises. The sub-sublease is a net lease, as the non-lease components (i.e., common area maintenance) are paid separately from rent based on actual costs incurred. Therefore, the non-lease components were not included in the right-of-use asset and liability and are reflected as an expense in the period incurred.</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As of June 30, 2026 and December 31, 2025, the right-of-use asset under the operating lease was approximately $0.7 million and $0.8 million, respectively. The elements of lease expense under the operating lease for the three and six months ended June 30, 2026 and 2025 were as follows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119"/>
        <w:gridCol w:w="346"/>
        <w:gridCol w:w="1718"/>
        <w:gridCol w:w="346"/>
        <w:gridCol w:w="211"/>
        <w:gridCol w:w="650"/>
        <w:gridCol w:w="346"/>
        <w:gridCol w:w="211"/>
        <w:gridCol w:w="650"/>
        <w:gridCol w:w="346"/>
        <w:gridCol w:w="211"/>
        <w:gridCol w:w="650"/>
        <w:gridCol w:w="346"/>
        <w:gridCol w:w="211"/>
        <w:gridCol w:w="650"/>
        <w:gridCol w:w="194"/>
      </w:tblGrid>
      <w:tr>
        <w:trPr/>
        <w:tc>
          <w:tcPr>
            <w:tcW w:w="31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980565" cy="175260"/>
                      <wp:effectExtent l="0" t="0" r="0" b="0"/>
                      <wp:wrapNone/>
                      <wp:docPr id="231" name="Frame231"/>
                      <a:graphic xmlns:a="http://schemas.openxmlformats.org/drawingml/2006/main">
                        <a:graphicData uri="http://schemas.microsoft.com/office/word/2010/wordprocessingShape">
                          <wps:wsp>
                            <wps:cNvSpPr txBox="1"/>
                            <wps:spPr>
                              <a:xfrm>
                                <a:off x="0" y="0"/>
                                <a:ext cx="198056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219710" cy="175260"/>
                      <wp:effectExtent l="0" t="0" r="0" b="0"/>
                      <wp:wrapNone/>
                      <wp:docPr id="232" name="Frame23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7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090930" cy="175260"/>
                      <wp:effectExtent l="0" t="0" r="0" b="0"/>
                      <wp:wrapNone/>
                      <wp:docPr id="233" name="Frame233"/>
                      <a:graphic xmlns:a="http://schemas.openxmlformats.org/drawingml/2006/main">
                        <a:graphicData uri="http://schemas.microsoft.com/office/word/2010/wordprocessingShape">
                          <wps:wsp>
                            <wps:cNvSpPr txBox="1"/>
                            <wps:spPr>
                              <a:xfrm>
                                <a:off x="0" y="0"/>
                                <a:ext cx="10909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219710" cy="175260"/>
                      <wp:effectExtent l="0" t="0" r="0" b="0"/>
                      <wp:wrapNone/>
                      <wp:docPr id="234" name="Frame23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33985" cy="175260"/>
                      <wp:effectExtent l="0" t="0" r="0" b="0"/>
                      <wp:wrapNone/>
                      <wp:docPr id="235" name="Frame23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412750" cy="175260"/>
                      <wp:effectExtent l="0" t="0" r="0" b="0"/>
                      <wp:wrapNone/>
                      <wp:docPr id="236" name="Frame236"/>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219710" cy="175260"/>
                      <wp:effectExtent l="0" t="0" r="0" b="0"/>
                      <wp:wrapNone/>
                      <wp:docPr id="237" name="Frame23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133985" cy="175260"/>
                      <wp:effectExtent l="0" t="0" r="0" b="0"/>
                      <wp:wrapNone/>
                      <wp:docPr id="238" name="Frame23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412750" cy="175260"/>
                      <wp:effectExtent l="0" t="0" r="0" b="0"/>
                      <wp:wrapNone/>
                      <wp:docPr id="239" name="Frame239"/>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19710" cy="175260"/>
                      <wp:effectExtent l="0" t="0" r="0" b="0"/>
                      <wp:wrapNone/>
                      <wp:docPr id="240" name="Frame24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133985" cy="175260"/>
                      <wp:effectExtent l="0" t="0" r="0" b="0"/>
                      <wp:wrapNone/>
                      <wp:docPr id="241" name="Frame24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412750" cy="175260"/>
                      <wp:effectExtent l="0" t="0" r="0" b="0"/>
                      <wp:wrapNone/>
                      <wp:docPr id="242" name="Frame242"/>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19710" cy="175260"/>
                      <wp:effectExtent l="0" t="0" r="0" b="0"/>
                      <wp:wrapNone/>
                      <wp:docPr id="243" name="Frame243"/>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133985" cy="175260"/>
                      <wp:effectExtent l="0" t="0" r="0" b="0"/>
                      <wp:wrapNone/>
                      <wp:docPr id="244"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412750" cy="175260"/>
                      <wp:effectExtent l="0" t="0" r="0" b="0"/>
                      <wp:wrapNone/>
                      <wp:docPr id="245" name="Frame245"/>
                      <a:graphic xmlns:a="http://schemas.openxmlformats.org/drawingml/2006/main">
                        <a:graphicData uri="http://schemas.microsoft.com/office/word/2010/wordprocessingShape">
                          <wps:wsp>
                            <wps:cNvSpPr txBox="1"/>
                            <wps:spPr>
                              <a:xfrm>
                                <a:off x="0" y="0"/>
                                <a:ext cx="41275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23190" cy="175260"/>
                      <wp:effectExtent l="0" t="0" r="0" b="0"/>
                      <wp:wrapNone/>
                      <wp:docPr id="246" name="Frame246"/>
                      <a:graphic xmlns:a="http://schemas.openxmlformats.org/drawingml/2006/main">
                        <a:graphicData uri="http://schemas.microsoft.com/office/word/2010/wordprocessingShape">
                          <wps:wsp>
                            <wps:cNvSpPr txBox="1"/>
                            <wps:spPr>
                              <a:xfrm>
                                <a:off x="0" y="0"/>
                                <a:ext cx="123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119"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6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068"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11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Statements of operations and</w:t>
            </w:r>
          </w:p>
        </w:tc>
        <w:tc>
          <w:tcPr>
            <w:tcW w:w="346" w:type="dxa"/>
            <w:tcBorders/>
            <w:vAlign w:val="center"/>
          </w:tcPr>
          <w:p>
            <w:pPr>
              <w:pStyle w:val="TableContents"/>
              <w:bidi w:val="0"/>
              <w:spacing w:lineRule="auto" w:line="285" w:before="0" w:after="0"/>
              <w:ind w:left="0" w:right="0" w:hanging="0"/>
              <w:jc w:val="left"/>
              <w:rPr/>
            </w:pPr>
            <w:r>
              <w:rPr/>
              <w:t>  ​ ​ ​</w:t>
            </w:r>
          </w:p>
        </w:tc>
        <w:tc>
          <w:tcPr>
            <w:tcW w:w="20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w:t>
            </w:r>
          </w:p>
        </w:tc>
        <w:tc>
          <w:tcPr>
            <w:tcW w:w="206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94" w:type="dxa"/>
            <w:tcBorders/>
            <w:vAlign w:val="center"/>
          </w:tcPr>
          <w:p>
            <w:pPr>
              <w:pStyle w:val="TableContents"/>
              <w:bidi w:val="0"/>
              <w:spacing w:lineRule="auto" w:line="285" w:before="0" w:after="0"/>
              <w:ind w:left="0" w:right="0" w:hanging="0"/>
              <w:jc w:val="center"/>
              <w:rPr/>
            </w:pPr>
            <w:r>
              <w:rPr/>
              <w:t> </w:t>
            </w:r>
          </w:p>
        </w:tc>
      </w:tr>
      <w:tr>
        <w:trPr/>
        <w:tc>
          <w:tcPr>
            <w:tcW w:w="3119"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 location</w:t>
            </w:r>
          </w:p>
        </w:tc>
        <w:tc>
          <w:tcPr>
            <w:tcW w:w="346" w:type="dxa"/>
            <w:tcBorders/>
            <w:vAlign w:val="center"/>
          </w:tcPr>
          <w:p>
            <w:pPr>
              <w:pStyle w:val="TableContents"/>
              <w:bidi w:val="0"/>
              <w:spacing w:lineRule="auto" w:line="285" w:before="0" w:after="0"/>
              <w:ind w:left="0" w:right="0" w:hanging="0"/>
              <w:jc w:val="left"/>
              <w:rPr/>
            </w:pPr>
            <w:r>
              <w:rPr/>
              <w:t>​</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861"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194" w:type="dxa"/>
            <w:tcBorders/>
            <w:vAlign w:val="center"/>
          </w:tcPr>
          <w:p>
            <w:pPr>
              <w:pStyle w:val="TableContents"/>
              <w:bidi w:val="0"/>
              <w:spacing w:lineRule="auto" w:line="285" w:before="0" w:after="0"/>
              <w:ind w:left="0" w:right="0" w:hanging="0"/>
              <w:jc w:val="center"/>
              <w:rPr/>
            </w:pPr>
            <w:r>
              <w:rPr/>
              <w:t>​</w:t>
            </w:r>
          </w:p>
        </w:tc>
      </w:tr>
      <w:tr>
        <w:trP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Costs of operating lease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1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center"/>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194" w:type="dxa"/>
            <w:tcBorders/>
            <w:shd w:fill="CCEEFF" w:val="clear"/>
            <w:vAlign w:val="center"/>
          </w:tcPr>
          <w:p>
            <w:pPr>
              <w:pStyle w:val="TableContents"/>
              <w:bidi w:val="0"/>
              <w:spacing w:lineRule="auto" w:line="285" w:before="0" w:after="0"/>
              <w:ind w:left="0" w:right="0" w:hanging="0"/>
              <w:jc w:val="center"/>
              <w:rPr/>
            </w:pPr>
            <w:r>
              <w:rPr/>
              <w:t>​</w:t>
            </w:r>
          </w:p>
        </w:tc>
      </w:tr>
      <w:tr>
        <w:trP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lease costs</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227</w:t>
            </w:r>
          </w:p>
        </w:tc>
        <w:tc>
          <w:tcPr>
            <w:tcW w:w="194" w:type="dxa"/>
            <w:tcBorders/>
            <w:vAlign w:val="center"/>
          </w:tcPr>
          <w:p>
            <w:pPr>
              <w:pStyle w:val="TableContents"/>
              <w:bidi w:val="0"/>
              <w:spacing w:lineRule="auto" w:line="285" w:before="0" w:after="0"/>
              <w:ind w:left="0" w:right="0" w:hanging="0"/>
              <w:jc w:val="center"/>
              <w:rPr/>
            </w:pPr>
            <w:r>
              <w:rPr/>
              <w:t>​</w:t>
            </w:r>
          </w:p>
        </w:tc>
      </w:tr>
      <w:tr>
        <w:trPr/>
        <w:tc>
          <w:tcPr>
            <w:tcW w:w="3119" w:type="dxa"/>
            <w:tcBorders/>
            <w:shd w:fill="CCEEFF" w:val="clear"/>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Costs of non-lease components (previously common area maintenance)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1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b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74</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lease cost</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185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301</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1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50" w:type="dxa"/>
            <w:tcBorders/>
            <w:shd w:fill="CCEEFF" w:val="clear"/>
            <w:vAlign w:val="center"/>
          </w:tcPr>
          <w:p>
            <w:pPr>
              <w:pStyle w:val="TableContents"/>
              <w:bidi w:val="0"/>
              <w:spacing w:lineRule="auto" w:line="285" w:before="0" w:after="0"/>
              <w:ind w:left="0" w:right="0" w:hanging="0"/>
              <w:jc w:val="center"/>
              <w:rPr>
                <w:color w:val="FF0000"/>
              </w:rPr>
            </w:pPr>
            <w:r>
              <w:rPr>
                <w:color w:val="FF0000"/>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50" w:type="dxa"/>
            <w:tcBorders/>
            <w:shd w:fill="CCEEFF" w:val="clear"/>
            <w:vAlign w:val="center"/>
          </w:tcPr>
          <w:p>
            <w:pPr>
              <w:pStyle w:val="TableContents"/>
              <w:bidi w:val="0"/>
              <w:spacing w:lineRule="auto" w:line="285" w:before="0" w:after="0"/>
              <w:ind w:left="0" w:right="0" w:hanging="0"/>
              <w:jc w:val="center"/>
              <w:rPr/>
            </w:pPr>
            <w:r>
              <w:rPr/>
              <w:t>​</w:t>
            </w:r>
          </w:p>
        </w:tc>
        <w:tc>
          <w:tcPr>
            <w:tcW w:w="194" w:type="dxa"/>
            <w:tcBorders/>
            <w:shd w:fill="CCEEFF" w:val="clear"/>
            <w:vAlign w:val="center"/>
          </w:tcPr>
          <w:p>
            <w:pPr>
              <w:pStyle w:val="TableContents"/>
              <w:bidi w:val="0"/>
              <w:spacing w:lineRule="auto" w:line="285" w:before="0" w:after="0"/>
              <w:ind w:left="0" w:right="0" w:hanging="0"/>
              <w:jc w:val="center"/>
              <w:rPr/>
            </w:pPr>
            <w:r>
              <w:rPr/>
              <w:t> </w:t>
            </w:r>
          </w:p>
        </w:tc>
      </w:tr>
      <w:tr>
        <w:trPr/>
        <w:tc>
          <w:tcPr>
            <w:tcW w:w="3119"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cash flows used for operating lease</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104</w:t>
            </w:r>
          </w:p>
        </w:tc>
        <w:tc>
          <w:tcPr>
            <w:tcW w:w="194" w:type="dxa"/>
            <w:tcBorders/>
            <w:vAlign w:val="center"/>
          </w:tcPr>
          <w:p>
            <w:pPr>
              <w:pStyle w:val="TableContents"/>
              <w:bidi w:val="0"/>
              <w:spacing w:lineRule="auto" w:line="285" w:before="0" w:after="0"/>
              <w:ind w:left="0" w:right="0" w:hanging="0"/>
              <w:jc w:val="left"/>
              <w:rPr/>
            </w:pPr>
            <w:r>
              <w:rPr/>
              <w:t>​</w:t>
            </w:r>
          </w:p>
        </w:tc>
      </w:tr>
      <w:tr>
        <w:trPr/>
        <w:tc>
          <w:tcPr>
            <w:tcW w:w="3119"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Remaining lease term</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718" w:type="dxa"/>
            <w:tcBorders/>
            <w:shd w:fill="CCEEFF" w:val="clear"/>
            <w:vAlign w:val="center"/>
          </w:tcPr>
          <w:p>
            <w:pPr>
              <w:pStyle w:val="TableContents"/>
              <w:bidi w:val="0"/>
              <w:spacing w:lineRule="auto" w:line="285" w:before="0" w:after="0"/>
              <w:ind w:left="0" w:right="0" w:hanging="0"/>
              <w:jc w:val="lef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 years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50"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 years</w:t>
            </w:r>
          </w:p>
        </w:tc>
        <w:tc>
          <w:tcPr>
            <w:tcW w:w="194" w:type="dxa"/>
            <w:tcBorders/>
            <w:shd w:fill="CCEEFF" w:val="clear"/>
            <w:vAlign w:val="center"/>
          </w:tcPr>
          <w:p>
            <w:pPr>
              <w:pStyle w:val="TableContents"/>
              <w:bidi w:val="0"/>
              <w:spacing w:lineRule="auto" w:line="285" w:before="0" w:after="0"/>
              <w:ind w:left="0" w:right="0" w:hanging="0"/>
              <w:jc w:val="left"/>
              <w:rPr/>
            </w:pPr>
            <w:r>
              <w:rPr/>
              <w:t>​</w:t>
            </w:r>
          </w:p>
        </w:tc>
      </w:tr>
      <w:tr>
        <w:trPr/>
        <w:tc>
          <w:tcPr>
            <w:tcW w:w="3119"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46" w:type="dxa"/>
            <w:tcBorders/>
            <w:vAlign w:val="center"/>
          </w:tcPr>
          <w:p>
            <w:pPr>
              <w:pStyle w:val="TableContents"/>
              <w:bidi w:val="0"/>
              <w:spacing w:lineRule="auto" w:line="285" w:before="0" w:after="0"/>
              <w:ind w:left="0" w:right="0" w:hanging="0"/>
              <w:jc w:val="left"/>
              <w:rPr/>
            </w:pPr>
            <w:r>
              <w:rPr/>
              <w:t>​</w:t>
            </w:r>
          </w:p>
        </w:tc>
        <w:tc>
          <w:tcPr>
            <w:tcW w:w="171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50"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11.7%</w:t>
            </w:r>
          </w:p>
        </w:tc>
        <w:tc>
          <w:tcPr>
            <w:tcW w:w="19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240" w:after="0"/>
        <w:ind w:left="0" w:right="0" w:firstLine="720"/>
        <w:jc w:val="left"/>
        <w:rPr>
          <w:rFonts w:ascii="Times New Roman;Times;serif" w:hAnsi="Times New Roman;Times;serif"/>
          <w:sz w:val="20"/>
        </w:rPr>
      </w:pPr>
      <w:r>
        <w:rPr>
          <w:rFonts w:ascii="Times New Roman;Times;serif" w:hAnsi="Times New Roman;Times;serif"/>
          <w:sz w:val="20"/>
        </w:rPr>
        <w:t>As of June 30, 2026, minimum rental commitments under this lease were as follows (in thousands):</w:t>
      </w:r>
    </w:p>
    <w:p>
      <w:pPr>
        <w:pStyle w:val="TextBody"/>
        <w:bidi w:val="0"/>
        <w:spacing w:lineRule="auto" w:line="285" w:before="0" w:after="0"/>
        <w:ind w:left="0" w:right="0" w:hanging="0"/>
        <w:jc w:val="left"/>
        <w:rPr/>
      </w:pPr>
      <w:r>
        <w:rPr/>
        <w:t>​</w:t>
      </w:r>
    </w:p>
    <w:tbl>
      <w:tblPr>
        <w:tblW w:w="4114" w:type="dxa"/>
        <w:jc w:val="left"/>
        <w:tblInd w:w="0" w:type="dxa"/>
        <w:tblLayout w:type="fixed"/>
        <w:tblCellMar>
          <w:top w:w="0" w:type="dxa"/>
          <w:left w:w="0" w:type="dxa"/>
          <w:bottom w:w="0" w:type="dxa"/>
          <w:right w:w="0" w:type="dxa"/>
        </w:tblCellMar>
      </w:tblPr>
      <w:tblGrid>
        <w:gridCol w:w="3031"/>
        <w:gridCol w:w="346"/>
        <w:gridCol w:w="211"/>
        <w:gridCol w:w="52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1924685" cy="175260"/>
                      <wp:effectExtent l="0" t="0" r="0" b="0"/>
                      <wp:wrapNone/>
                      <wp:docPr id="247" name="Frame247"/>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19710" cy="175260"/>
                      <wp:effectExtent l="0" t="0" r="0" b="0"/>
                      <wp:wrapNone/>
                      <wp:docPr id="248" name="Frame24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49" name="Frame24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334010" cy="175260"/>
                      <wp:effectExtent l="0" t="0" r="0" b="0"/>
                      <wp:wrapNone/>
                      <wp:docPr id="250" name="Frame250"/>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52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230</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52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796</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52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2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728</w:t>
            </w:r>
          </w:p>
        </w:tc>
      </w:tr>
    </w:tbl>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 Remainder of the year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As of December 31, 2025, minimum rental commitments under this lease were as follows (in thousands):</w:t>
      </w:r>
    </w:p>
    <w:p>
      <w:pPr>
        <w:pStyle w:val="TextBody"/>
        <w:bidi w:val="0"/>
        <w:spacing w:lineRule="auto" w:line="285" w:before="0" w:after="0"/>
        <w:ind w:left="0" w:right="0" w:hanging="0"/>
        <w:jc w:val="left"/>
        <w:rPr/>
      </w:pPr>
      <w:r>
        <w:rPr/>
        <w:t>​</w:t>
      </w:r>
    </w:p>
    <w:tbl>
      <w:tblPr>
        <w:tblW w:w="4204" w:type="dxa"/>
        <w:jc w:val="left"/>
        <w:tblInd w:w="0" w:type="dxa"/>
        <w:tblLayout w:type="fixed"/>
        <w:tblCellMar>
          <w:top w:w="0" w:type="dxa"/>
          <w:left w:w="0" w:type="dxa"/>
          <w:bottom w:w="0" w:type="dxa"/>
          <w:right w:w="0" w:type="dxa"/>
        </w:tblCellMar>
      </w:tblPr>
      <w:tblGrid>
        <w:gridCol w:w="3031"/>
        <w:gridCol w:w="346"/>
        <w:gridCol w:w="211"/>
        <w:gridCol w:w="616"/>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1924685" cy="175260"/>
                      <wp:effectExtent l="0" t="0" r="0" b="0"/>
                      <wp:wrapNone/>
                      <wp:docPr id="251" name="Frame251"/>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19710" cy="175260"/>
                      <wp:effectExtent l="0" t="0" r="0" b="0"/>
                      <wp:wrapNone/>
                      <wp:docPr id="252" name="Frame25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133985" cy="175260"/>
                      <wp:effectExtent l="0" t="0" r="0" b="0"/>
                      <wp:wrapNone/>
                      <wp:docPr id="253" name="Frame2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391160" cy="175260"/>
                      <wp:effectExtent l="0" t="0" r="0" b="0"/>
                      <wp:wrapNone/>
                      <wp:docPr id="254" name="Frame254"/>
                      <a:graphic xmlns:a="http://schemas.openxmlformats.org/drawingml/2006/main">
                        <a:graphicData uri="http://schemas.microsoft.com/office/word/2010/wordprocessingShape">
                          <wps:wsp>
                            <wps:cNvSpPr txBox="1"/>
                            <wps:spPr>
                              <a:xfrm>
                                <a:off x="0" y="0"/>
                                <a:ext cx="3911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03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Year Ended December 31 (in thousands)</w:t>
            </w:r>
          </w:p>
        </w:tc>
        <w:tc>
          <w:tcPr>
            <w:tcW w:w="346" w:type="dxa"/>
            <w:tcBorders/>
            <w:vAlign w:val="center"/>
          </w:tcPr>
          <w:p>
            <w:pPr>
              <w:pStyle w:val="TableContents"/>
              <w:bidi w:val="0"/>
              <w:spacing w:lineRule="auto" w:line="285" w:before="0" w:after="0"/>
              <w:ind w:left="0" w:right="0" w:hanging="0"/>
              <w:jc w:val="left"/>
              <w:rPr/>
            </w:pPr>
            <w:r>
              <w:rPr/>
              <w:t>  ​ ​ ​</w:t>
            </w:r>
          </w:p>
        </w:tc>
        <w:tc>
          <w:tcPr>
            <w:tcW w:w="211" w:type="dxa"/>
            <w:tcBorders/>
            <w:vAlign w:val="center"/>
          </w:tcPr>
          <w:p>
            <w:pPr>
              <w:pStyle w:val="TableContents"/>
              <w:bidi w:val="0"/>
              <w:spacing w:lineRule="auto" w:line="285" w:before="0" w:after="0"/>
              <w:ind w:left="0" w:right="0" w:hanging="0"/>
              <w:jc w:val="left"/>
              <w:rPr/>
            </w:pPr>
            <w:r>
              <w:rPr/>
              <w:t>​</w:t>
            </w:r>
          </w:p>
        </w:tc>
        <w:tc>
          <w:tcPr>
            <w:tcW w:w="616" w:type="dxa"/>
            <w:tcBorders/>
            <w:vAlign w:val="center"/>
          </w:tcPr>
          <w:p>
            <w:pPr>
              <w:pStyle w:val="TableContents"/>
              <w:bidi w:val="0"/>
              <w:spacing w:lineRule="auto" w:line="285" w:before="0" w:after="0"/>
              <w:ind w:left="0" w:right="0" w:hanging="0"/>
              <w:jc w:val="center"/>
              <w:rPr/>
            </w:pPr>
            <w:r>
              <w:rPr/>
              <w:t>​</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486</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566</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lease payments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1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1,052</w:t>
            </w:r>
          </w:p>
        </w:tc>
      </w:tr>
      <w:tr>
        <w:trPr/>
        <w:tc>
          <w:tcPr>
            <w:tcW w:w="303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1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(115)</w:t>
            </w:r>
          </w:p>
        </w:tc>
      </w:tr>
      <w:tr>
        <w:trPr/>
        <w:tc>
          <w:tcPr>
            <w:tcW w:w="303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bottom w:val="double" w:sz="6" w:space="0" w:color="000000"/>
            </w:tcBorders>
            <w:shd w:fill="CCEEFF" w:val="clear"/>
            <w:tcMar>
              <w:bottom w:w="28" w:type="dxa"/>
            </w:tcMar>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937</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15. Commitments and Contingencies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the Company’s license agreements with each of Vernalis, Scripps and Monash, it has obligations to make future milestone and royalty payments to the respective parties. However, because these amounts are contingent, they have not been included on the Company’s balance sheet. For further discussion of the Vernalis, Scripps and Monash licensing agreements, see Note 7, “License and Collaboration Agreements.”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Indemnifications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law. There have been no claims to date and the Company has a directors and officers insurance policy that may enable it to recover a portion of any amounts paid for future claims.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Legal Proceedings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Company is not a party to any material legal proceedings.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16. Related Party Transactions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part of the January 2026 follow-on public offering, 30,000 shares of common stock, at the public offering price of $22.15 per share, were sold to Puissance Capital Management, a related party. Ted Wang, Ph.D., a Co-Founder, General Manager and Director of Angel Pharmaceuticals, of which the Company holds a 49% ownership interest, is the founder of Puissance Capital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May 6, 2024, the Company closed a registered direct offering which resulted in gross proceeds of approximately $30.6 million. The financing consisted of the sale of 13,512,699 shares of common stock and accompanying common stock warrants to purchase 13,078,509 shares of common stock (or pre-funded warrants in lieu thereof) at a combined offering price of $1.7312 per share, and the sale of pre-funded warrants to purchase 4,144,085 shares of common stock and accompanying common warrants to purchase 4,010,927 shares of common stock (or pre-funded warrants in lieu thereof) at a combined offering price of $1.7311 per share. The common warrants had an exercise price of $3.50 per share of common stock (or $3.4999 per pre-funded warrant in lieu thereof), are exercisable at any time after the date of issuance, subject to certain ownership limitations, and expired on June 30, 2025. The pre-funded warrants have an exercise price of $0.0001 and are exercisable anytime after the date of the issuance, subject to certain ownership limitations.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bookmarkStart w:id="1172" w:name="Tc_fbNUBSMODUigUyeJDFtYjg_8_0"/>
      <w:bookmarkStart w:id="1173" w:name="Tc_Q9PEpqUMVkSaSPvDC9Nxjg_7_0"/>
      <w:bookmarkStart w:id="1174" w:name="Tc_poy3XkpO0Ua-dAdn0t93sA_6_0"/>
      <w:bookmarkStart w:id="1175" w:name="Tc_OIlAdwchIkyeOHzXk_kqjQ_5_9"/>
      <w:bookmarkStart w:id="1176" w:name="Tc_p_QIQAj9UkWFD5xRL0e2rA_5_8"/>
      <w:bookmarkStart w:id="1177" w:name="Tc_4nt6WgpdxEupiHr27Tdh7g_5_0"/>
      <w:bookmarkStart w:id="1178" w:name="Tc_E3OQ_v-FzkWDJCO8Vl-Gow_4_8"/>
      <w:bookmarkStart w:id="1179" w:name="Tc_BPrWGtpJpEmeU48Qz_0JLA_4_5"/>
      <w:bookmarkStart w:id="1180" w:name="Tc_oZ71YwX_2EKjdTfG6spJfw_4_2"/>
      <w:bookmarkStart w:id="1181" w:name="Tc_E6XRQY5IIUCIHQAC82Ruxg_3_8"/>
      <w:bookmarkStart w:id="1182" w:name="Tc_AXnJ5HTeM0yiuUyRYYoB0g_3_5"/>
      <w:bookmarkStart w:id="1183" w:name="Tc_p3woHY9z4EOGdRPS9LdQCg_3_2"/>
      <w:bookmarkStart w:id="1184" w:name="Tc_rMdepxHEDk27VUU77xAwkg_2_9"/>
      <w:bookmarkStart w:id="1185" w:name="Tc_9hFAyYm9VUu9l_Dm9KdvTw_2_5"/>
      <w:bookmarkStart w:id="1186" w:name="Tc_EjiwxcyycEyfe2mK0-AJyQ_2_2"/>
      <w:bookmarkStart w:id="1187" w:name="Tc_1UtgKQ95Bk2Vrf_HRrQW0A_1_5"/>
      <w:bookmarkStart w:id="1188" w:name="_5dce73b1_316c_43e1_820e_ddad9785f46f"/>
      <w:bookmarkStart w:id="1189" w:name="Tc_k8FKqVve_USeXYf65JX1MA_7_6"/>
      <w:bookmarkStart w:id="1190" w:name="Tc_GQSLIp1Hc0ivel6CrM432g_7_0"/>
      <w:bookmarkStart w:id="1191" w:name="Tc_KW-72h_Xe06-h67sNAoyQQ_6_6"/>
      <w:bookmarkStart w:id="1192" w:name="Tc_cZLFsiJxVkmtYYHMGDFmTQ_6_0"/>
      <w:bookmarkStart w:id="1193" w:name="Tc_IHEUKfG5EkOgf_sGEJSd9g_5_6"/>
      <w:bookmarkStart w:id="1194" w:name="Tc_KBk878uLZ0u4A172QexpBg_5_0"/>
      <w:bookmarkStart w:id="1195" w:name="Tc_EAhyirLaeUOY2UIaVYmvRw_4_11"/>
      <w:bookmarkStart w:id="1196" w:name="Tc_hBKYy4HfekiGit4mXBkxlw_4_3"/>
      <w:bookmarkStart w:id="1197" w:name="Tc_ken9bz2j2UK3GpUHpqzRbw_4_0"/>
      <w:bookmarkStart w:id="1198" w:name="Tc_JoD8BIYwtEmO7XwZ4Rk1qg_3_11"/>
      <w:bookmarkStart w:id="1199" w:name="Tc_p6RikWgcl0meQMNugQClkQ_3_8"/>
      <w:bookmarkStart w:id="1200" w:name="Tc_UJssUN_uTk6iAXiFBBQDMQ_3_5"/>
      <w:bookmarkStart w:id="1201" w:name="Tc_tHx9K4WGq02TLHs8FnZNpg_3_2"/>
      <w:bookmarkStart w:id="1202" w:name="Tc_ypjg_Nvfk06tTafTYS_Adw_2_11"/>
      <w:bookmarkStart w:id="1203" w:name="Tc_IwBqGNkJtE-vdgNUFeFQJQ_2_8"/>
      <w:bookmarkStart w:id="1204" w:name="Tc_GSD74VDQrkOxZfixVI0Ulg_2_5"/>
      <w:bookmarkStart w:id="1205" w:name="Tc_QkNBMJadf0mq1ZVw8dJaww_2_3"/>
      <w:bookmarkStart w:id="1206" w:name="Tc_Rpy8IVTR00amB23My3aMmA_1_11"/>
      <w:bookmarkStart w:id="1207" w:name="Tc_zFOSBCarJUaxw1EmAEUsug_1_8"/>
      <w:bookmarkStart w:id="1208" w:name="Tc_bE02G2RiF0CrL9vSpKJwVg_1_5"/>
      <w:bookmarkStart w:id="1209" w:name="Tc_bbGF-Utj9kW18f-qPOGBog_1_2"/>
      <w:bookmarkStart w:id="1210" w:name="_f45bf820_0ac7_4e2a_82bd_c55e9638da12"/>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r>
        <w:rPr>
          <w:rFonts w:ascii="Times New Roman;Times;serif" w:hAnsi="Times New Roman;Times;serif"/>
          <w:sz w:val="20"/>
        </w:rPr>
        <w:t>As part of the registered direct offering, the following number of shares of common stock, pre-funded warrants and common warrants were sold to related parties:</w:t>
      </w:r>
    </w:p>
    <w:tbl>
      <w:tblPr>
        <w:tblW w:w="8808" w:type="dxa"/>
        <w:jc w:val="left"/>
        <w:tblInd w:w="0" w:type="dxa"/>
        <w:tblLayout w:type="fixed"/>
        <w:tblCellMar>
          <w:top w:w="0" w:type="dxa"/>
          <w:left w:w="0" w:type="dxa"/>
          <w:bottom w:w="0" w:type="dxa"/>
          <w:right w:w="0" w:type="dxa"/>
        </w:tblCellMar>
      </w:tblPr>
      <w:tblGrid>
        <w:gridCol w:w="2941"/>
        <w:gridCol w:w="346"/>
        <w:gridCol w:w="148"/>
        <w:gridCol w:w="1068"/>
        <w:gridCol w:w="346"/>
        <w:gridCol w:w="109"/>
        <w:gridCol w:w="931"/>
        <w:gridCol w:w="346"/>
        <w:gridCol w:w="109"/>
        <w:gridCol w:w="931"/>
        <w:gridCol w:w="346"/>
        <w:gridCol w:w="211"/>
        <w:gridCol w:w="97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1867535" cy="175260"/>
                      <wp:effectExtent l="0" t="0" r="0" b="0"/>
                      <wp:wrapNone/>
                      <wp:docPr id="255" name="Frame255"/>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219710" cy="175260"/>
                      <wp:effectExtent l="0" t="0" r="0" b="0"/>
                      <wp:wrapNone/>
                      <wp:docPr id="256" name="Frame256"/>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93980" cy="175260"/>
                      <wp:effectExtent l="0" t="0" r="0" b="0"/>
                      <wp:wrapNone/>
                      <wp:docPr id="257" name="Frame257"/>
                      <a:graphic xmlns:a="http://schemas.openxmlformats.org/drawingml/2006/main">
                        <a:graphicData uri="http://schemas.microsoft.com/office/word/2010/wordprocessingShape">
                          <wps:wsp>
                            <wps:cNvSpPr txBox="1"/>
                            <wps:spPr>
                              <a:xfrm>
                                <a:off x="0" y="0"/>
                                <a:ext cx="939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78180" cy="175260"/>
                      <wp:effectExtent l="0" t="0" r="0" b="0"/>
                      <wp:wrapNone/>
                      <wp:docPr id="258" name="Frame258"/>
                      <a:graphic xmlns:a="http://schemas.openxmlformats.org/drawingml/2006/main">
                        <a:graphicData uri="http://schemas.microsoft.com/office/word/2010/wordprocessingShape">
                          <wps:wsp>
                            <wps:cNvSpPr txBox="1"/>
                            <wps:spPr>
                              <a:xfrm>
                                <a:off x="0" y="0"/>
                                <a:ext cx="6781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19710" cy="175260"/>
                      <wp:effectExtent l="0" t="0" r="0" b="0"/>
                      <wp:wrapNone/>
                      <wp:docPr id="259" name="Frame25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9215" cy="175260"/>
                      <wp:effectExtent l="0" t="0" r="0" b="0"/>
                      <wp:wrapNone/>
                      <wp:docPr id="260" name="Frame26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591185" cy="175260"/>
                      <wp:effectExtent l="0" t="0" r="0" b="0"/>
                      <wp:wrapNone/>
                      <wp:docPr id="261" name="Frame2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219710" cy="175260"/>
                      <wp:effectExtent l="0" t="0" r="0" b="0"/>
                      <wp:wrapNone/>
                      <wp:docPr id="262" name="Frame26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9215" cy="175260"/>
                      <wp:effectExtent l="0" t="0" r="0" b="0"/>
                      <wp:wrapNone/>
                      <wp:docPr id="263" name="Frame26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591185" cy="175260"/>
                      <wp:effectExtent l="0" t="0" r="0" b="0"/>
                      <wp:wrapNone/>
                      <wp:docPr id="264" name="Frame26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219710" cy="175260"/>
                      <wp:effectExtent l="0" t="0" r="0" b="0"/>
                      <wp:wrapNone/>
                      <wp:docPr id="265" name="Frame26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133985" cy="175260"/>
                      <wp:effectExtent l="0" t="0" r="0" b="0"/>
                      <wp:wrapNone/>
                      <wp:docPr id="266" name="Frame26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19760" cy="175260"/>
                      <wp:effectExtent l="0" t="0" r="0" b="0"/>
                      <wp:wrapNone/>
                      <wp:docPr id="267" name="Frame267"/>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16"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rPr/>
            </w:pPr>
            <w:r>
              <w:rP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left"/>
              <w:rPr/>
            </w:pPr>
            <w:r>
              <w:rPr/>
              <w:t>  ​ ​ ​</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rPr/>
            </w:pPr>
            <w:r>
              <w:rPr/>
              <w:t>​</w:t>
            </w:r>
          </w:p>
        </w:tc>
        <w:tc>
          <w:tcPr>
            <w:tcW w:w="11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48" w:type="dxa"/>
            <w:tcBorders/>
            <w:vAlign w:val="center"/>
          </w:tcPr>
          <w:p>
            <w:pPr>
              <w:pStyle w:val="TableContents"/>
              <w:bidi w:val="0"/>
              <w:spacing w:lineRule="auto" w:line="285" w:before="0" w:after="0"/>
              <w:ind w:left="0" w:right="0" w:hanging="0"/>
              <w:jc w:val="center"/>
              <w:rPr/>
            </w:pPr>
            <w:r>
              <w:rPr/>
              <w:t>​</w:t>
            </w:r>
          </w:p>
        </w:tc>
        <w:tc>
          <w:tcPr>
            <w:tcW w:w="1068"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Shares of</w:t>
            </w:r>
          </w:p>
        </w:tc>
        <w:tc>
          <w:tcPr>
            <w:tcW w:w="346" w:type="dxa"/>
            <w:tcBorders/>
            <w:vAlign w:val="center"/>
          </w:tcPr>
          <w:p>
            <w:pPr>
              <w:pStyle w:val="TableContents"/>
              <w:bidi w:val="0"/>
              <w:spacing w:lineRule="auto" w:line="285" w:before="0" w:after="0"/>
              <w:ind w:left="0" w:right="0" w:hanging="0"/>
              <w:jc w:val="center"/>
              <w:rPr/>
            </w:pPr>
            <w:r>
              <w:rP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Pre-Funded</w:t>
            </w:r>
          </w:p>
        </w:tc>
        <w:tc>
          <w:tcPr>
            <w:tcW w:w="346" w:type="dxa"/>
            <w:tcBorders/>
            <w:vAlign w:val="center"/>
          </w:tcPr>
          <w:p>
            <w:pPr>
              <w:pStyle w:val="TableContents"/>
              <w:bidi w:val="0"/>
              <w:spacing w:lineRule="auto" w:line="285" w:before="0" w:after="0"/>
              <w:ind w:left="0" w:right="0" w:hanging="0"/>
              <w:jc w:val="left"/>
              <w:rPr/>
            </w:pPr>
            <w:r>
              <w:rPr/>
              <w:t>​</w:t>
            </w:r>
          </w:p>
        </w:tc>
        <w:tc>
          <w:tcPr>
            <w:tcW w:w="104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w:t>
            </w:r>
          </w:p>
        </w:tc>
        <w:tc>
          <w:tcPr>
            <w:tcW w:w="346" w:type="dxa"/>
            <w:tcBorders/>
            <w:vAlign w:val="center"/>
          </w:tcPr>
          <w:p>
            <w:pPr>
              <w:pStyle w:val="TableContents"/>
              <w:bidi w:val="0"/>
              <w:spacing w:lineRule="auto" w:line="285" w:before="0" w:after="0"/>
              <w:ind w:left="0" w:right="0" w:hanging="0"/>
              <w:jc w:val="center"/>
              <w:rPr/>
            </w:pPr>
            <w:r>
              <w:rPr/>
              <w:t>​</w:t>
            </w:r>
          </w:p>
        </w:tc>
        <w:tc>
          <w:tcPr>
            <w:tcW w:w="1187"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Purchase</w:t>
            </w:r>
          </w:p>
        </w:tc>
      </w:tr>
      <w:tr>
        <w:trPr/>
        <w:tc>
          <w:tcPr>
            <w:tcW w:w="294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216"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b/>
                <w:sz w:val="16"/>
              </w:rPr>
              <w:t>Common</w:t>
            </w:r>
            <w:r>
              <w:rPr>
                <w:rFonts w:ascii="Times New Roman;Times;serif" w:hAnsi="Times New Roman;Times;serif"/>
                <w:sz w:val="16"/>
              </w:rPr>
              <w:t> </w:t>
            </w:r>
            <w:r>
              <w:rPr>
                <w:rFonts w:ascii="Times New Roman;Times;serif" w:hAnsi="Times New Roman;Times;serif"/>
                <w:b/>
                <w:sz w:val="16"/>
              </w:rPr>
              <w:t>Stock</w:t>
            </w:r>
          </w:p>
        </w:tc>
        <w:tc>
          <w:tcPr>
            <w:tcW w:w="346" w:type="dxa"/>
            <w:tcBorders/>
            <w:vAlign w:val="center"/>
          </w:tcPr>
          <w:p>
            <w:pPr>
              <w:pStyle w:val="TableContents"/>
              <w:bidi w:val="0"/>
              <w:spacing w:lineRule="auto" w:line="285"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lineRule="auto" w:line="285" w:before="0" w:after="0"/>
              <w:ind w:left="0" w:right="0" w:hanging="0"/>
              <w:jc w:val="left"/>
              <w:rPr/>
            </w:pPr>
            <w:r>
              <w:rPr/>
              <w:t>  ​ ​ ​</w:t>
            </w:r>
          </w:p>
        </w:tc>
        <w:tc>
          <w:tcPr>
            <w:tcW w:w="104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346" w:type="dxa"/>
            <w:tcBorders/>
            <w:vAlign w:val="center"/>
          </w:tcPr>
          <w:p>
            <w:pPr>
              <w:pStyle w:val="TableContents"/>
              <w:bidi w:val="0"/>
              <w:spacing w:lineRule="auto" w:line="285" w:before="0" w:after="0"/>
              <w:ind w:left="0" w:right="0" w:hanging="0"/>
              <w:jc w:val="left"/>
              <w:rPr/>
            </w:pPr>
            <w:r>
              <w:rPr/>
              <w:t>  ​ ​ ​</w:t>
            </w:r>
          </w:p>
        </w:tc>
        <w:tc>
          <w:tcPr>
            <w:tcW w:w="11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OrbiMed Advisors LLC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8" w:type="dxa"/>
            <w:tcBorders/>
            <w:shd w:fill="CCEEFF" w:val="clear"/>
            <w:vAlign w:val="center"/>
          </w:tcPr>
          <w:p>
            <w:pPr>
              <w:pStyle w:val="TableContents"/>
              <w:bidi w:val="0"/>
              <w:spacing w:lineRule="auto" w:line="285" w:before="0" w:after="0"/>
              <w:ind w:left="0" w:right="0" w:hanging="0"/>
              <w:jc w:val="left"/>
              <w:rPr/>
            </w:pPr>
            <w:r>
              <w:rPr/>
              <w:t>​</w:t>
            </w:r>
          </w:p>
        </w:tc>
        <w:tc>
          <w:tcPr>
            <w:tcW w:w="1068"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1,444,085</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1,397,684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2,499,856</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Puissance Capital Management (2)</w:t>
            </w:r>
          </w:p>
        </w:tc>
        <w:tc>
          <w:tcPr>
            <w:tcW w:w="346" w:type="dxa"/>
            <w:tcBorders/>
            <w:vAlign w:val="center"/>
          </w:tcPr>
          <w:p>
            <w:pPr>
              <w:pStyle w:val="TableContents"/>
              <w:bidi w:val="0"/>
              <w:spacing w:lineRule="auto" w:line="285" w:before="0" w:after="0"/>
              <w:ind w:left="0" w:right="0" w:hanging="0"/>
              <w:jc w:val="left"/>
              <w:rPr/>
            </w:pPr>
            <w:r>
              <w:rPr/>
              <w:t>​</w:t>
            </w:r>
          </w:p>
        </w:tc>
        <w:tc>
          <w:tcPr>
            <w:tcW w:w="148" w:type="dxa"/>
            <w:tcBorders/>
            <w:vAlign w:val="center"/>
          </w:tcPr>
          <w:p>
            <w:pPr>
              <w:pStyle w:val="TableContents"/>
              <w:bidi w:val="0"/>
              <w:spacing w:lineRule="auto" w:line="285" w:before="0" w:after="0"/>
              <w:ind w:left="0" w:right="0" w:hanging="0"/>
              <w:jc w:val="left"/>
              <w:rPr/>
            </w:pPr>
            <w:r>
              <w:rPr/>
              <w:t>​</w:t>
            </w:r>
          </w:p>
        </w:tc>
        <w:tc>
          <w:tcPr>
            <w:tcW w:w="106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866,451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1,500,000</w:t>
            </w:r>
          </w:p>
        </w:tc>
      </w:tr>
      <w:tr>
        <w:trPr/>
        <w:tc>
          <w:tcPr>
            <w:tcW w:w="294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Richard A. Miller, M.D. (3)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48" w:type="dxa"/>
            <w:tcBorders/>
            <w:shd w:fill="CCEEFF" w:val="clear"/>
            <w:vAlign w:val="center"/>
          </w:tcPr>
          <w:p>
            <w:pPr>
              <w:pStyle w:val="TableContents"/>
              <w:bidi w:val="0"/>
              <w:spacing w:lineRule="auto" w:line="285" w:before="0" w:after="0"/>
              <w:ind w:left="0" w:right="0" w:hanging="0"/>
              <w:jc w:val="left"/>
              <w:rPr/>
            </w:pPr>
            <w:r>
              <w:rPr/>
              <w:t>​</w:t>
            </w:r>
          </w:p>
        </w:tc>
        <w:tc>
          <w:tcPr>
            <w:tcW w:w="1068"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577,634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pPr>
            <w:r>
              <w:rPr/>
              <w: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09" w:type="dxa"/>
            <w:tcBorders/>
            <w:shd w:fill="CCEEFF" w:val="clear"/>
            <w:vAlign w:val="center"/>
          </w:tcPr>
          <w:p>
            <w:pPr>
              <w:pStyle w:val="TableContents"/>
              <w:bidi w:val="0"/>
              <w:spacing w:lineRule="auto" w:line="285" w:before="0" w:after="0"/>
              <w:ind w:left="0" w:right="0" w:hanging="0"/>
              <w:jc w:val="left"/>
              <w:rPr/>
            </w:pPr>
            <w:r>
              <w:rPr/>
              <w:t>​</w:t>
            </w:r>
          </w:p>
        </w:tc>
        <w:tc>
          <w:tcPr>
            <w:tcW w:w="93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1,000,000</w:t>
            </w:r>
          </w:p>
        </w:tc>
      </w:tr>
      <w:tr>
        <w:trPr/>
        <w:tc>
          <w:tcPr>
            <w:tcW w:w="294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B. Jones, Ph.D. (4)</w:t>
            </w:r>
          </w:p>
        </w:tc>
        <w:tc>
          <w:tcPr>
            <w:tcW w:w="346" w:type="dxa"/>
            <w:tcBorders/>
            <w:vAlign w:val="center"/>
          </w:tcPr>
          <w:p>
            <w:pPr>
              <w:pStyle w:val="TableContents"/>
              <w:bidi w:val="0"/>
              <w:spacing w:lineRule="auto" w:line="285" w:before="0" w:after="0"/>
              <w:ind w:left="0" w:right="0" w:hanging="0"/>
              <w:jc w:val="left"/>
              <w:rPr/>
            </w:pPr>
            <w:r>
              <w:rPr/>
              <w:t>​</w:t>
            </w:r>
          </w:p>
        </w:tc>
        <w:tc>
          <w:tcPr>
            <w:tcW w:w="148" w:type="dxa"/>
            <w:tcBorders/>
            <w:vAlign w:val="center"/>
          </w:tcPr>
          <w:p>
            <w:pPr>
              <w:pStyle w:val="TableContents"/>
              <w:bidi w:val="0"/>
              <w:spacing w:lineRule="auto" w:line="285" w:before="0" w:after="0"/>
              <w:ind w:left="0" w:right="0" w:hanging="0"/>
              <w:jc w:val="left"/>
              <w:rPr/>
            </w:pPr>
            <w:r>
              <w:rPr/>
              <w:t>​</w:t>
            </w:r>
          </w:p>
        </w:tc>
        <w:tc>
          <w:tcPr>
            <w:tcW w:w="1068"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20,001</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09" w:type="dxa"/>
            <w:tcBorders/>
            <w:vAlign w:val="center"/>
          </w:tcPr>
          <w:p>
            <w:pPr>
              <w:pStyle w:val="TableContents"/>
              <w:bidi w:val="0"/>
              <w:spacing w:lineRule="auto" w:line="285" w:before="0" w:after="0"/>
              <w:ind w:left="0" w:right="0" w:hanging="0"/>
              <w:jc w:val="left"/>
              <w:rPr/>
            </w:pPr>
            <w:r>
              <w:rPr/>
              <w:t>​</w:t>
            </w:r>
          </w:p>
        </w:tc>
        <w:tc>
          <w:tcPr>
            <w:tcW w:w="93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976"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34,624</w:t>
            </w:r>
          </w:p>
        </w:tc>
      </w:tr>
    </w:tbl>
    <w:tbl>
      <w:tblPr>
        <w:tblW w:w="10205" w:type="dxa"/>
        <w:jc w:val="left"/>
        <w:tblInd w:w="0" w:type="dxa"/>
        <w:tblLayout w:type="fixed"/>
        <w:tblCellMar>
          <w:top w:w="28" w:type="dxa"/>
          <w:left w:w="28" w:type="dxa"/>
          <w:bottom w:w="28" w:type="dxa"/>
          <w:right w:w="28" w:type="dxa"/>
        </w:tblCellMar>
      </w:tblPr>
      <w:tblGrid>
        <w:gridCol w:w="124"/>
        <w:gridCol w:w="318"/>
        <w:gridCol w:w="9763"/>
      </w:tblGrid>
      <w:tr>
        <w:trPr/>
        <w:tc>
          <w:tcPr>
            <w:tcW w:w="124" w:type="dxa"/>
            <w:tcBorders/>
            <w:vAlign w:val="center"/>
          </w:tcPr>
          <w:p>
            <w:pPr>
              <w:pStyle w:val="TableContents"/>
              <w:bidi w:val="0"/>
              <w:spacing w:before="0" w:after="283"/>
              <w:jc w:val="left"/>
              <w:rPr>
                <w:sz w:val="4"/>
                <w:szCs w:val="4"/>
              </w:rPr>
            </w:pPr>
            <w:r>
              <w:rPr>
                <w:sz w:val="4"/>
                <w:szCs w:val="4"/>
              </w:rPr>
            </w:r>
          </w:p>
        </w:tc>
        <w:tc>
          <w:tcPr>
            <w:tcW w:w="31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6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Thompson, M.D., a member of the Company’s Board of Directors since November 2014, is a Private Equity Partner at OrbiMed Advisors, LLC.</w:t>
            </w:r>
          </w:p>
        </w:tc>
      </w:tr>
    </w:tbl>
    <w:tbl>
      <w:tblPr>
        <w:tblW w:w="10205" w:type="dxa"/>
        <w:jc w:val="left"/>
        <w:tblInd w:w="0" w:type="dxa"/>
        <w:tblLayout w:type="fixed"/>
        <w:tblCellMar>
          <w:top w:w="28" w:type="dxa"/>
          <w:left w:w="28" w:type="dxa"/>
          <w:bottom w:w="28" w:type="dxa"/>
          <w:right w:w="28" w:type="dxa"/>
        </w:tblCellMar>
      </w:tblPr>
      <w:tblGrid>
        <w:gridCol w:w="124"/>
        <w:gridCol w:w="305"/>
        <w:gridCol w:w="9776"/>
      </w:tblGrid>
      <w:tr>
        <w:trPr/>
        <w:tc>
          <w:tcPr>
            <w:tcW w:w="124" w:type="dxa"/>
            <w:tcBorders/>
            <w:vAlign w:val="center"/>
          </w:tcPr>
          <w:p>
            <w:pPr>
              <w:pStyle w:val="TableContents"/>
              <w:bidi w:val="0"/>
              <w:spacing w:before="0" w:after="283"/>
              <w:jc w:val="left"/>
              <w:rPr>
                <w:sz w:val="4"/>
                <w:szCs w:val="4"/>
              </w:rPr>
            </w:pPr>
            <w:r>
              <w:rPr>
                <w:sz w:val="4"/>
                <w:szCs w:val="4"/>
              </w:rPr>
            </w:r>
          </w:p>
        </w:tc>
        <w:tc>
          <w:tcPr>
            <w:tcW w:w="30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7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Ted Wang, Ph.D., a Co-Founder, General Manager and Director of Angel Pharmaceuticals, of which the Company holds a 49%</w:t>
            </w:r>
            <w:r>
              <w:rPr>
                <w:caps w:val="false"/>
                <w:smallCaps w:val="false"/>
              </w:rPr>
              <w:t xml:space="preserve"> </w:t>
            </w:r>
            <w:r>
              <w:rPr>
                <w:rFonts w:ascii="Times New Roman;Times;serif" w:hAnsi="Times New Roman;Times;serif"/>
                <w:b w:val="false"/>
                <w:i w:val="false"/>
                <w:caps w:val="false"/>
                <w:smallCaps w:val="false"/>
                <w:sz w:val="20"/>
              </w:rPr>
              <w:t>ownership interest, is the founder of Puissance Capital Management.</w:t>
            </w:r>
          </w:p>
        </w:tc>
      </w:tr>
    </w:tbl>
    <w:tbl>
      <w:tblPr>
        <w:tblW w:w="10056" w:type="dxa"/>
        <w:jc w:val="left"/>
        <w:tblInd w:w="0" w:type="dxa"/>
        <w:tblLayout w:type="fixed"/>
        <w:tblCellMar>
          <w:top w:w="28" w:type="dxa"/>
          <w:left w:w="28" w:type="dxa"/>
          <w:bottom w:w="28" w:type="dxa"/>
          <w:right w:w="28" w:type="dxa"/>
        </w:tblCellMar>
      </w:tblPr>
      <w:tblGrid>
        <w:gridCol w:w="124"/>
        <w:gridCol w:w="331"/>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A. Miller, M.D. is the Company’s President, Chief Executive Officer and Chairman of the Board of Directors.</w:t>
            </w:r>
          </w:p>
        </w:tc>
      </w:tr>
    </w:tbl>
    <w:tbl>
      <w:tblPr>
        <w:tblW w:w="8271" w:type="dxa"/>
        <w:jc w:val="left"/>
        <w:tblInd w:w="0" w:type="dxa"/>
        <w:tblLayout w:type="fixed"/>
        <w:tblCellMar>
          <w:top w:w="28" w:type="dxa"/>
          <w:left w:w="28" w:type="dxa"/>
          <w:bottom w:w="28" w:type="dxa"/>
          <w:right w:w="28" w:type="dxa"/>
        </w:tblCellMar>
      </w:tblPr>
      <w:tblGrid>
        <w:gridCol w:w="124"/>
        <w:gridCol w:w="331"/>
        <w:gridCol w:w="7816"/>
      </w:tblGrid>
      <w:tr>
        <w:trPr/>
        <w:tc>
          <w:tcPr>
            <w:tcW w:w="124" w:type="dxa"/>
            <w:tcBorders/>
            <w:vAlign w:val="center"/>
          </w:tcPr>
          <w:p>
            <w:pPr>
              <w:pStyle w:val="TableContents"/>
              <w:bidi w:val="0"/>
              <w:spacing w:before="0" w:after="283"/>
              <w:jc w:val="left"/>
              <w:rPr>
                <w:sz w:val="4"/>
                <w:szCs w:val="4"/>
              </w:rPr>
            </w:pPr>
            <w:r>
              <w:rPr>
                <w:sz w:val="4"/>
                <w:szCs w:val="4"/>
              </w:rPr>
            </w:r>
          </w:p>
        </w:tc>
        <w:tc>
          <w:tcPr>
            <w:tcW w:w="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8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B. Jones, Ph.D. is the Company’s Senior Vice President, Pharmaceutical Development.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During the three months ended June 30, 2025, all of the common warrants sold to related parties as part of the Company’s May 2024 registered direct offering were exercised. The details of these exercises are as follows:</w:t>
      </w:r>
    </w:p>
    <w:p>
      <w:pPr>
        <w:pStyle w:val="TextBody"/>
        <w:bidi w:val="0"/>
        <w:spacing w:lineRule="auto" w:line="285" w:before="0" w:after="0"/>
        <w:ind w:left="0" w:right="0" w:hanging="0"/>
        <w:jc w:val="left"/>
        <w:rPr/>
      </w:pPr>
      <w:r>
        <w:rPr/>
        <w:t>​</w:t>
      </w:r>
    </w:p>
    <w:tbl>
      <w:tblPr>
        <w:tblW w:w="7999" w:type="dxa"/>
        <w:jc w:val="left"/>
        <w:tblInd w:w="0" w:type="dxa"/>
        <w:tblLayout w:type="fixed"/>
        <w:tblCellMar>
          <w:top w:w="0" w:type="dxa"/>
          <w:left w:w="0" w:type="dxa"/>
          <w:bottom w:w="0" w:type="dxa"/>
          <w:right w:w="0" w:type="dxa"/>
        </w:tblCellMar>
      </w:tblPr>
      <w:tblGrid>
        <w:gridCol w:w="2671"/>
        <w:gridCol w:w="346"/>
        <w:gridCol w:w="158"/>
        <w:gridCol w:w="1357"/>
        <w:gridCol w:w="346"/>
        <w:gridCol w:w="158"/>
        <w:gridCol w:w="1132"/>
        <w:gridCol w:w="346"/>
        <w:gridCol w:w="264"/>
        <w:gridCol w:w="122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1696085" cy="175260"/>
                      <wp:effectExtent l="0" t="0" r="0" b="0"/>
                      <wp:wrapNone/>
                      <wp:docPr id="268" name="Frame268"/>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219710" cy="175260"/>
                      <wp:effectExtent l="0" t="0" r="0" b="0"/>
                      <wp:wrapNone/>
                      <wp:docPr id="269" name="Frame26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100330" cy="175260"/>
                      <wp:effectExtent l="0" t="0" r="0" b="0"/>
                      <wp:wrapNone/>
                      <wp:docPr id="270" name="Frame270"/>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3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861695" cy="175260"/>
                      <wp:effectExtent l="0" t="0" r="0" b="0"/>
                      <wp:wrapNone/>
                      <wp:docPr id="271" name="Frame271"/>
                      <a:graphic xmlns:a="http://schemas.openxmlformats.org/drawingml/2006/main">
                        <a:graphicData uri="http://schemas.microsoft.com/office/word/2010/wordprocessingShape">
                          <wps:wsp>
                            <wps:cNvSpPr txBox="1"/>
                            <wps:spPr>
                              <a:xfrm>
                                <a:off x="0" y="0"/>
                                <a:ext cx="86169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19710" cy="175260"/>
                      <wp:effectExtent l="0" t="0" r="0" b="0"/>
                      <wp:wrapNone/>
                      <wp:docPr id="272" name="Frame27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100330" cy="175260"/>
                      <wp:effectExtent l="0" t="0" r="0" b="0"/>
                      <wp:wrapNone/>
                      <wp:docPr id="273" name="Frame273"/>
                      <a:graphic xmlns:a="http://schemas.openxmlformats.org/drawingml/2006/main">
                        <a:graphicData uri="http://schemas.microsoft.com/office/word/2010/wordprocessingShape">
                          <wps:wsp>
                            <wps:cNvSpPr txBox="1"/>
                            <wps:spPr>
                              <a:xfrm>
                                <a:off x="0" y="0"/>
                                <a:ext cx="10033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718820" cy="175260"/>
                      <wp:effectExtent l="0" t="0" r="0" b="0"/>
                      <wp:wrapNone/>
                      <wp:docPr id="274" name="Frame274"/>
                      <a:graphic xmlns:a="http://schemas.openxmlformats.org/drawingml/2006/main">
                        <a:graphicData uri="http://schemas.microsoft.com/office/word/2010/wordprocessingShape">
                          <wps:wsp>
                            <wps:cNvSpPr txBox="1"/>
                            <wps:spPr>
                              <a:xfrm>
                                <a:off x="0" y="0"/>
                                <a:ext cx="71882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219710" cy="175260"/>
                      <wp:effectExtent l="0" t="0" r="0" b="0"/>
                      <wp:wrapNone/>
                      <wp:docPr id="275" name="Frame27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167640" cy="175260"/>
                      <wp:effectExtent l="0" t="0" r="0" b="0"/>
                      <wp:wrapNone/>
                      <wp:docPr id="276" name="Frame276"/>
                      <a:graphic xmlns:a="http://schemas.openxmlformats.org/drawingml/2006/main">
                        <a:graphicData uri="http://schemas.microsoft.com/office/word/2010/wordprocessingShape">
                          <wps:wsp>
                            <wps:cNvSpPr txBox="1"/>
                            <wps:spPr>
                              <a:xfrm>
                                <a:off x="0" y="0"/>
                                <a:ext cx="16764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775335" cy="175260"/>
                      <wp:effectExtent l="0" t="0" r="0" b="0"/>
                      <wp:wrapNone/>
                      <wp:docPr id="277" name="Frame277"/>
                      <a:graphic xmlns:a="http://schemas.openxmlformats.org/drawingml/2006/main">
                        <a:graphicData uri="http://schemas.microsoft.com/office/word/2010/wordprocessingShape">
                          <wps:wsp>
                            <wps:cNvSpPr txBox="1"/>
                            <wps:spPr>
                              <a:xfrm>
                                <a:off x="0" y="0"/>
                                <a:ext cx="7753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515"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rPr/>
            </w:pPr>
            <w:r>
              <w:rPr/>
              <w:t>​</w:t>
            </w:r>
          </w:p>
        </w:tc>
        <w:tc>
          <w:tcPr>
            <w:tcW w:w="1485" w:type="dxa"/>
            <w:gridSpan w:val="2"/>
            <w:tcBorders/>
            <w:vAlign w:val="center"/>
          </w:tcPr>
          <w:p>
            <w:pPr>
              <w:pStyle w:val="TableContents"/>
              <w:bidi w:val="0"/>
              <w:spacing w:lineRule="auto" w:line="285" w:before="0" w:after="0"/>
              <w:ind w:left="0" w:right="0" w:hanging="0"/>
              <w:jc w:val="center"/>
              <w:rPr/>
            </w:pPr>
            <w:r>
              <w:rPr/>
              <w:t>​</w:t>
            </w:r>
          </w:p>
        </w:tc>
      </w:tr>
      <w:tr>
        <w:trPr/>
        <w:tc>
          <w:tcPr>
            <w:tcW w:w="26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46" w:type="dxa"/>
            <w:tcBorders/>
            <w:vAlign w:val="center"/>
          </w:tcPr>
          <w:p>
            <w:pPr>
              <w:pStyle w:val="TableContents"/>
              <w:bidi w:val="0"/>
              <w:spacing w:lineRule="auto" w:line="285" w:before="0" w:after="0"/>
              <w:ind w:left="0" w:right="0" w:hanging="0"/>
              <w:jc w:val="center"/>
              <w:rPr/>
            </w:pPr>
            <w:r>
              <w:rP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346" w:type="dxa"/>
            <w:tcBorders/>
            <w:vAlign w:val="center"/>
          </w:tcPr>
          <w:p>
            <w:pPr>
              <w:pStyle w:val="TableContents"/>
              <w:bidi w:val="0"/>
              <w:spacing w:lineRule="auto" w:line="285" w:before="0" w:after="0"/>
              <w:ind w:left="0" w:right="0" w:hanging="0"/>
              <w:jc w:val="center"/>
              <w:rPr/>
            </w:pPr>
            <w:r>
              <w:rPr/>
              <w:t>​</w:t>
            </w:r>
          </w:p>
        </w:tc>
        <w:tc>
          <w:tcPr>
            <w:tcW w:w="264" w:type="dxa"/>
            <w:tcBorders/>
            <w:vAlign w:val="center"/>
          </w:tcPr>
          <w:p>
            <w:pPr>
              <w:pStyle w:val="TableContents"/>
              <w:bidi w:val="0"/>
              <w:spacing w:lineRule="auto" w:line="285" w:before="0" w:after="0"/>
              <w:ind w:left="0" w:right="0" w:hanging="0"/>
              <w:jc w:val="center"/>
              <w:rPr/>
            </w:pPr>
            <w:r>
              <w:rPr/>
              <w:t>​</w:t>
            </w:r>
          </w:p>
        </w:tc>
        <w:tc>
          <w:tcPr>
            <w:tcW w:w="122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26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51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Common Warrants</w:t>
            </w:r>
          </w:p>
        </w:tc>
        <w:tc>
          <w:tcPr>
            <w:tcW w:w="346" w:type="dxa"/>
            <w:tcBorders/>
            <w:vAlign w:val="center"/>
          </w:tcPr>
          <w:p>
            <w:pPr>
              <w:pStyle w:val="TableContents"/>
              <w:bidi w:val="0"/>
              <w:spacing w:lineRule="auto" w:line="285" w:before="0" w:after="0"/>
              <w:ind w:left="0" w:right="0" w:hanging="0"/>
              <w:jc w:val="center"/>
              <w:rPr/>
            </w:pPr>
            <w:r>
              <w:rPr/>
              <w:t>​</w:t>
            </w:r>
          </w:p>
        </w:tc>
        <w:tc>
          <w:tcPr>
            <w:tcW w:w="1290"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Issued Upon</w:t>
            </w:r>
          </w:p>
        </w:tc>
        <w:tc>
          <w:tcPr>
            <w:tcW w:w="346" w:type="dxa"/>
            <w:tcBorders/>
            <w:vAlign w:val="center"/>
          </w:tcPr>
          <w:p>
            <w:pPr>
              <w:pStyle w:val="TableContents"/>
              <w:bidi w:val="0"/>
              <w:spacing w:lineRule="auto" w:line="285" w:before="0" w:after="0"/>
              <w:ind w:left="0" w:right="0" w:hanging="0"/>
              <w:jc w:val="center"/>
              <w:rPr/>
            </w:pPr>
            <w:r>
              <w:rPr/>
              <w:t>​</w:t>
            </w:r>
          </w:p>
        </w:tc>
        <w:tc>
          <w:tcPr>
            <w:tcW w:w="1485" w:type="dxa"/>
            <w:gridSpan w:val="2"/>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Proceeds Received</w:t>
            </w:r>
          </w:p>
        </w:tc>
      </w:tr>
      <w:tr>
        <w:trPr/>
        <w:tc>
          <w:tcPr>
            <w:tcW w:w="2671"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151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Exercised</w:t>
            </w:r>
          </w:p>
        </w:tc>
        <w:tc>
          <w:tcPr>
            <w:tcW w:w="346" w:type="dxa"/>
            <w:tcBorders/>
            <w:vAlign w:val="center"/>
          </w:tcPr>
          <w:p>
            <w:pPr>
              <w:pStyle w:val="TableContents"/>
              <w:bidi w:val="0"/>
              <w:spacing w:lineRule="auto" w:line="285" w:before="0" w:after="0"/>
              <w:ind w:left="0" w:right="0" w:hanging="0"/>
              <w:jc w:val="left"/>
              <w:rPr/>
            </w:pPr>
            <w:r>
              <w:rPr/>
              <w:t>  ​ ​ ​</w:t>
            </w:r>
          </w:p>
        </w:tc>
        <w:tc>
          <w:tcPr>
            <w:tcW w:w="1290"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46" w:type="dxa"/>
            <w:tcBorders/>
            <w:vAlign w:val="center"/>
          </w:tcPr>
          <w:p>
            <w:pPr>
              <w:pStyle w:val="TableContents"/>
              <w:bidi w:val="0"/>
              <w:spacing w:lineRule="auto" w:line="285" w:before="0" w:after="0"/>
              <w:ind w:left="0" w:right="0" w:hanging="0"/>
              <w:jc w:val="left"/>
              <w:rPr/>
            </w:pPr>
            <w:r>
              <w:rPr/>
              <w:t>  ​ ​ ​</w:t>
            </w:r>
          </w:p>
        </w:tc>
        <w:tc>
          <w:tcPr>
            <w:tcW w:w="1485"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Upon Exercise</w:t>
            </w:r>
          </w:p>
        </w:tc>
      </w:tr>
      <w:tr>
        <w:trPr/>
        <w:tc>
          <w:tcPr>
            <w:tcW w:w="26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OrbiMed Advisors LLC (1)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13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1,397,684</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221,352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4"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lineRule="auto" w:line="285" w:before="0" w:after="0"/>
              <w:ind w:left="0" w:right="0" w:hanging="0"/>
              <w:jc w:val="right"/>
              <w:rPr/>
            </w:pPr>
            <w:r>
              <w:rPr/>
              <w:t>—</w:t>
            </w:r>
          </w:p>
        </w:tc>
      </w:tr>
      <w:tr>
        <w:trPr/>
        <w:tc>
          <w:tcPr>
            <w:tcW w:w="26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Puissance Capital Management</w:t>
            </w:r>
          </w:p>
        </w:tc>
        <w:tc>
          <w:tcPr>
            <w:tcW w:w="346"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c>
          <w:tcPr>
            <w:tcW w:w="13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838,610</w:t>
            </w:r>
          </w:p>
        </w:tc>
        <w:tc>
          <w:tcPr>
            <w:tcW w:w="346" w:type="dxa"/>
            <w:tcBorders/>
            <w:vAlign w:val="center"/>
          </w:tcPr>
          <w:p>
            <w:pPr>
              <w:pStyle w:val="TableContents"/>
              <w:bidi w:val="0"/>
              <w:spacing w:lineRule="auto" w:line="285" w:before="0" w:after="0"/>
              <w:ind w:left="0" w:right="0" w:hanging="0"/>
              <w:jc w:val="left"/>
              <w:rPr/>
            </w:pPr>
            <w:r>
              <w:rPr/>
              <w:t>​</w:t>
            </w:r>
          </w:p>
        </w:tc>
        <w:tc>
          <w:tcPr>
            <w:tcW w:w="264" w:type="dxa"/>
            <w:tcBorders/>
            <w:vAlign w:val="center"/>
          </w:tcPr>
          <w:p>
            <w:pPr>
              <w:pStyle w:val="TableContents"/>
              <w:bidi w:val="0"/>
              <w:spacing w:lineRule="auto" w:line="285" w:before="0" w:after="0"/>
              <w:ind w:left="0" w:right="0" w:hanging="0"/>
              <w:jc w:val="left"/>
              <w:rPr/>
            </w:pPr>
            <w:r>
              <w:rPr/>
              <w:t>​</w:t>
            </w:r>
          </w:p>
        </w:tc>
        <w:tc>
          <w:tcPr>
            <w:tcW w:w="122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2,935,135</w:t>
            </w:r>
          </w:p>
        </w:tc>
      </w:tr>
      <w:tr>
        <w:trPr/>
        <w:tc>
          <w:tcPr>
            <w:tcW w:w="267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Richard A. Miller, M.D.</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1357"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158" w:type="dxa"/>
            <w:tcBorders/>
            <w:shd w:fill="CCEEFF" w:val="clear"/>
            <w:vAlign w:val="center"/>
          </w:tcPr>
          <w:p>
            <w:pPr>
              <w:pStyle w:val="TableContents"/>
              <w:bidi w:val="0"/>
              <w:spacing w:lineRule="auto" w:line="285" w:before="0" w:after="0"/>
              <w:ind w:left="0" w:right="0" w:hanging="0"/>
              <w:jc w:val="left"/>
              <w:rPr/>
            </w:pPr>
            <w:r>
              <w:rPr/>
              <w:t>​</w:t>
            </w:r>
          </w:p>
        </w:tc>
        <w:tc>
          <w:tcPr>
            <w:tcW w:w="1132"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559,073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64" w:type="dxa"/>
            <w:tcBorders/>
            <w:shd w:fill="CCEEFF" w:val="clear"/>
            <w:vAlign w:val="center"/>
          </w:tcPr>
          <w:p>
            <w:pPr>
              <w:pStyle w:val="TableContents"/>
              <w:bidi w:val="0"/>
              <w:spacing w:lineRule="auto" w:line="285" w:before="0" w:after="0"/>
              <w:ind w:left="0" w:right="0" w:hanging="0"/>
              <w:jc w:val="left"/>
              <w:rPr/>
            </w:pPr>
            <w:r>
              <w:rPr/>
              <w:t>​</w:t>
            </w:r>
          </w:p>
        </w:tc>
        <w:tc>
          <w:tcPr>
            <w:tcW w:w="122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1,956,756</w:t>
            </w:r>
          </w:p>
        </w:tc>
      </w:tr>
      <w:tr>
        <w:trPr/>
        <w:tc>
          <w:tcPr>
            <w:tcW w:w="267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William B. Jones, Ph.D.</w:t>
            </w:r>
          </w:p>
        </w:tc>
        <w:tc>
          <w:tcPr>
            <w:tcW w:w="346"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c>
          <w:tcPr>
            <w:tcW w:w="1357"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rPr/>
            </w:pPr>
            <w:r>
              <w:rPr/>
              <w:t>​</w:t>
            </w:r>
          </w:p>
        </w:tc>
        <w:tc>
          <w:tcPr>
            <w:tcW w:w="158" w:type="dxa"/>
            <w:tcBorders/>
            <w:vAlign w:val="center"/>
          </w:tcPr>
          <w:p>
            <w:pPr>
              <w:pStyle w:val="TableContents"/>
              <w:bidi w:val="0"/>
              <w:spacing w:lineRule="auto" w:line="285" w:before="0" w:after="0"/>
              <w:ind w:left="0" w:right="0" w:hanging="0"/>
              <w:jc w:val="left"/>
              <w:rPr/>
            </w:pPr>
            <w:r>
              <w:rPr/>
              <w:t>​</w:t>
            </w:r>
          </w:p>
        </w:tc>
        <w:tc>
          <w:tcPr>
            <w:tcW w:w="1132"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19,357</w:t>
            </w:r>
          </w:p>
        </w:tc>
        <w:tc>
          <w:tcPr>
            <w:tcW w:w="346" w:type="dxa"/>
            <w:tcBorders/>
            <w:vAlign w:val="center"/>
          </w:tcPr>
          <w:p>
            <w:pPr>
              <w:pStyle w:val="TableContents"/>
              <w:bidi w:val="0"/>
              <w:spacing w:lineRule="auto" w:line="285" w:before="0" w:after="0"/>
              <w:ind w:left="0" w:right="0" w:hanging="0"/>
              <w:jc w:val="left"/>
              <w:rPr/>
            </w:pPr>
            <w:r>
              <w:rPr/>
              <w:t>​</w:t>
            </w:r>
          </w:p>
        </w:tc>
        <w:tc>
          <w:tcPr>
            <w:tcW w:w="264" w:type="dxa"/>
            <w:tcBorders/>
            <w:vAlign w:val="center"/>
          </w:tcPr>
          <w:p>
            <w:pPr>
              <w:pStyle w:val="TableContents"/>
              <w:bidi w:val="0"/>
              <w:spacing w:lineRule="auto" w:line="285" w:before="0" w:after="0"/>
              <w:ind w:left="0" w:right="0" w:hanging="0"/>
              <w:jc w:val="left"/>
              <w:rPr/>
            </w:pPr>
            <w:r>
              <w:rPr/>
              <w:t>​</w:t>
            </w:r>
          </w:p>
        </w:tc>
        <w:tc>
          <w:tcPr>
            <w:tcW w:w="1221" w:type="dxa"/>
            <w:tcBorders/>
            <w:vAlign w:val="center"/>
          </w:tcPr>
          <w:p>
            <w:pPr>
              <w:pStyle w:val="TableContents"/>
              <w:bidi w:val="0"/>
              <w:spacing w:lineRule="auto" w:line="285" w:before="0" w:after="0"/>
              <w:ind w:left="0" w:right="60" w:hanging="0"/>
              <w:jc w:val="right"/>
              <w:rPr>
                <w:rFonts w:ascii="Times New Roman;Times;serif" w:hAnsi="Times New Roman;Times;serif"/>
                <w:sz w:val="20"/>
              </w:rPr>
            </w:pPr>
            <w:r>
              <w:rPr>
                <w:rFonts w:ascii="Times New Roman;Times;serif" w:hAnsi="Times New Roman;Times;serif"/>
                <w:sz w:val="20"/>
              </w:rPr>
              <w:t>67,750</w:t>
            </w:r>
          </w:p>
        </w:tc>
      </w:tr>
    </w:tbl>
    <w:tbl>
      <w:tblPr>
        <w:tblW w:w="10205" w:type="dxa"/>
        <w:jc w:val="left"/>
        <w:tblInd w:w="0" w:type="dxa"/>
        <w:tblLayout w:type="fixed"/>
        <w:tblCellMar>
          <w:top w:w="28" w:type="dxa"/>
          <w:left w:w="28" w:type="dxa"/>
          <w:bottom w:w="28" w:type="dxa"/>
          <w:right w:w="28" w:type="dxa"/>
        </w:tblCellMar>
      </w:tblPr>
      <w:tblGrid>
        <w:gridCol w:w="124"/>
        <w:gridCol w:w="291"/>
        <w:gridCol w:w="9790"/>
      </w:tblGrid>
      <w:tr>
        <w:trPr/>
        <w:tc>
          <w:tcPr>
            <w:tcW w:w="124" w:type="dxa"/>
            <w:tcBorders/>
            <w:vAlign w:val="center"/>
          </w:tcPr>
          <w:p>
            <w:pPr>
              <w:pStyle w:val="TableContents"/>
              <w:bidi w:val="0"/>
              <w:spacing w:before="0" w:after="283"/>
              <w:jc w:val="left"/>
              <w:rPr>
                <w:sz w:val="4"/>
                <w:szCs w:val="4"/>
              </w:rPr>
            </w:pPr>
            <w:r>
              <w:rPr>
                <w:sz w:val="4"/>
                <w:szCs w:val="4"/>
              </w:rPr>
            </w:r>
          </w:p>
        </w:tc>
        <w:tc>
          <w:tcPr>
            <w:tcW w:w="2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90"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OrbiMed Advisors LLC paid the exercise price of $3.50</w:t>
            </w:r>
            <w:r>
              <w:rPr>
                <w:caps w:val="false"/>
                <w:smallCaps w:val="false"/>
              </w:rPr>
              <w:t xml:space="preserve"> </w:t>
            </w:r>
            <w:r>
              <w:rPr>
                <w:rFonts w:ascii="Times New Roman;Times;serif" w:hAnsi="Times New Roman;Times;serif"/>
                <w:b w:val="false"/>
                <w:i w:val="false"/>
                <w:caps w:val="false"/>
                <w:smallCaps w:val="false"/>
                <w:sz w:val="20"/>
              </w:rPr>
              <w:t>per common stock warrant on a cashless basis, resulting in the Company withholding 1,176,332</w:t>
            </w:r>
            <w:r>
              <w:rPr>
                <w:caps w:val="false"/>
                <w:smallCaps w:val="false"/>
              </w:rPr>
              <w:t xml:space="preserve"> </w:t>
            </w:r>
            <w:r>
              <w:rPr>
                <w:rFonts w:ascii="Times New Roman;Times;serif" w:hAnsi="Times New Roman;Times;serif"/>
                <w:b w:val="false"/>
                <w:i w:val="false"/>
                <w:caps w:val="false"/>
                <w:smallCaps w:val="false"/>
                <w:sz w:val="20"/>
              </w:rPr>
              <w:t>of the warrant shares to pay the exercise price and issuing to OrbiMed Advisors LLC the remaining 221,352</w:t>
            </w:r>
            <w:r>
              <w:rPr>
                <w:caps w:val="false"/>
                <w:smallCaps w:val="false"/>
              </w:rPr>
              <w:t xml:space="preserve"> </w:t>
            </w:r>
            <w:r>
              <w:rPr>
                <w:rFonts w:ascii="Times New Roman;Times;serif" w:hAnsi="Times New Roman;Times;serif"/>
                <w:b w:val="false"/>
                <w:i w:val="false"/>
                <w:caps w:val="false"/>
                <w:smallCaps w:val="false"/>
                <w:sz w:val="20"/>
              </w:rPr>
              <w:t>shares. This transaction is considered a non-cash financing activity.</w:t>
            </w:r>
          </w:p>
        </w:tc>
      </w:tr>
    </w:tbl>
    <w:p>
      <w:pPr>
        <w:pStyle w:val="TextBody"/>
        <w:bidi w:val="0"/>
        <w:spacing w:lineRule="auto" w:line="285" w:before="0" w:after="0"/>
        <w:ind w:left="0" w:right="0" w:firstLine="72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July 2021, Linda S. Grais, M.D., J.D., a member of the Company’s Board of Directors, was appointed as a non-executive member of the Board of Directors of ICON plc (“ICON”), effective upon completion of ICON’s acquisition of PRA Health Sciences, Inc. ICON is a clinical research organization and provides services to support the Company’s clinical trials. During the three months ended June 30, 2026 and 2025, the Company recorded approximately $118,000 and $137,000, respectively, in clinical trial expenses under its agreements with ICON.</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bookmarkStart w:id="1211" w:name="Item2ManagementsDiscussionandAnalysisofF"/>
      <w:bookmarkStart w:id="1212" w:name="_a3b319d7_24ce_4e06_b4ce_6996df619b80"/>
      <w:bookmarkEnd w:id="1211"/>
      <w:bookmarkEnd w:id="1212"/>
      <w:r>
        <w:rPr>
          <w:rFonts w:ascii="Times New Roman;Times;serif" w:hAnsi="Times New Roman;Times;serif"/>
          <w:b/>
          <w:sz w:val="20"/>
        </w:rPr>
        <w:t>Item 2.    Management’s Discussion and Analysis of Financial Condition and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together with our unaudited condensed consolidated financial statements and related notes thereto included in Part I, Item 1 of this Quarterly Report on Form 10-Q and with our audited condensed consolidated financial statements and notes for the year ended December 31, 2025, included in our Annual Report on Form 10-K filed with the U.S. Securities and Exchange Commission (“SEC”) on March 12, 2026.</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entitled “Risk Factors.” Except as may be required by law, we assume no obligation to update these forward-looking statements or the reasons that results could differ from these forward-looking statements.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 clinical stage biopharmaceutical company developing product candidates that precisely target proteins that are critical to immune cell maturation and function. We believe our proprietary product candidates have broad potential to address immune mediated diseases, inflammatory diseases and cancers.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Our lead product candidate, soquelitinib (formerly CPI-818), is designed to bind specifically to a protein, interleukin 2 inducible T cell kinase (“ITK”), involved in T cell activation, T cell receptor signaling and T cell differentiation and function. Based on the proposed mechanism of action, we believe soquelitinib has the potential to be utilized to inhibit the production of a number of inflammatory cytokines involved in diseases such as atopic dermatitis, hidradenitis suppurativa, asthma, psoriasis and fibrotic diseases. In preclinical studies, Soquelitinib has affected T cell differentiation leading to enhanced function of T cells involved in tumor cell eradication.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the immune cells targeted by our product candidates play a role in many diseases, our strategy is to leverage our research and development capabilities by evaluating our product candidates in clinical trials where there is an understanding of the role of specific T cells in the target indication and where we believe such product candidates have the broadest potential. We believe this strategy has enabled us to move rapidly from preclinical to clinical trials in diverse disease areas, each with large unmet needs. We are enrolling patients in a potentially registrational Phase 3 clinical trial of soquelitinib for relapsed peripheral T cell lymphomas. Soquelitinib is also being evaluated in a randomized, placebo-controlled Phase 2 trial in patients with atopic dermatitis. We have two additional product candidates which are in clinical development for the treatment of various solid tumors, also based on modulation of immune function.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Product Candidate Pipeline</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product candidate pipeline and anticipated milestones include the following:</w:t>
      </w:r>
    </w:p>
    <w:p>
      <w:pPr>
        <w:pStyle w:val="TextBody"/>
        <w:bidi w:val="0"/>
        <w:spacing w:lineRule="auto" w:line="285" w:before="0" w:after="0"/>
        <w:ind w:left="0" w:right="0" w:hanging="0"/>
        <w:jc w:val="left"/>
        <w:rPr/>
      </w:pPr>
      <w:r>
        <w:rPr/>
        <w:drawing>
          <wp:inline distT="0" distB="0" distL="0" distR="0">
            <wp:extent cx="6163310" cy="2250440"/>
            <wp:effectExtent l="0" t="0" r="0" b="0"/>
            <wp:docPr id="27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 descr=""/>
                    <pic:cNvPicPr>
                      <a:picLocks noChangeAspect="1" noChangeArrowheads="1"/>
                    </pic:cNvPicPr>
                  </pic:nvPicPr>
                  <pic:blipFill>
                    <a:blip r:embed="rId2"/>
                    <a:stretch>
                      <a:fillRect/>
                    </a:stretch>
                  </pic:blipFill>
                  <pic:spPr bwMode="auto">
                    <a:xfrm>
                      <a:off x="0" y="0"/>
                      <a:ext cx="6163310" cy="2250440"/>
                    </a:xfrm>
                    <a:prstGeom prst="rect">
                      <a:avLst/>
                    </a:prstGeom>
                  </pic:spPr>
                </pic:pic>
              </a:graphicData>
            </a:graphic>
          </wp:inline>
        </w:drawing>
      </w:r>
    </w:p>
    <w:p>
      <w:pPr>
        <w:pStyle w:val="TextBody"/>
        <w:bidi w:val="0"/>
        <w:spacing w:lineRule="auto" w:line="285" w:before="0" w:after="0"/>
        <w:ind w:left="0" w:right="0" w:hanging="0"/>
        <w:jc w:val="center"/>
        <w:rPr/>
      </w:pPr>
      <w:r>
        <w:rPr/>
        <w:t>​</w:t>
      </w:r>
    </w:p>
    <w:tbl>
      <w:tblPr>
        <w:tblW w:w="7746" w:type="dxa"/>
        <w:jc w:val="left"/>
        <w:tblInd w:w="0" w:type="dxa"/>
        <w:tblLayout w:type="fixed"/>
        <w:tblCellMar>
          <w:top w:w="28" w:type="dxa"/>
          <w:left w:w="28" w:type="dxa"/>
          <w:bottom w:w="28" w:type="dxa"/>
          <w:right w:w="28" w:type="dxa"/>
        </w:tblCellMar>
      </w:tblPr>
      <w:tblGrid>
        <w:gridCol w:w="124"/>
        <w:gridCol w:w="271"/>
        <w:gridCol w:w="7351"/>
      </w:tblGrid>
      <w:tr>
        <w:trPr/>
        <w:tc>
          <w:tcPr>
            <w:tcW w:w="124" w:type="dxa"/>
            <w:tcBorders/>
            <w:vAlign w:val="center"/>
          </w:tcPr>
          <w:p>
            <w:pPr>
              <w:pStyle w:val="TableContents"/>
              <w:bidi w:val="0"/>
              <w:spacing w:before="0" w:after="283"/>
              <w:jc w:val="left"/>
              <w:rPr>
                <w:sz w:val="4"/>
                <w:szCs w:val="4"/>
              </w:rPr>
            </w:pPr>
            <w:r>
              <w:rPr>
                <w:sz w:val="4"/>
                <w:szCs w:val="4"/>
              </w:rPr>
            </w:r>
          </w:p>
        </w:tc>
        <w:tc>
          <w:tcPr>
            <w:tcW w:w="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A Phase 1b/2 clinical trial in atopic dermatitis is being conducted by Angel Pharmaceuticals, the Company’s partner in China.</w:t>
            </w:r>
          </w:p>
        </w:tc>
      </w:tr>
    </w:tbl>
    <w:tbl>
      <w:tblPr>
        <w:tblW w:w="10205" w:type="dxa"/>
        <w:jc w:val="left"/>
        <w:tblInd w:w="0" w:type="dxa"/>
        <w:tblLayout w:type="fixed"/>
        <w:tblCellMar>
          <w:top w:w="28" w:type="dxa"/>
          <w:left w:w="28" w:type="dxa"/>
          <w:bottom w:w="28" w:type="dxa"/>
          <w:right w:w="28" w:type="dxa"/>
        </w:tblCellMar>
      </w:tblPr>
      <w:tblGrid>
        <w:gridCol w:w="124"/>
        <w:gridCol w:w="259"/>
        <w:gridCol w:w="9822"/>
      </w:tblGrid>
      <w:tr>
        <w:trPr/>
        <w:tc>
          <w:tcPr>
            <w:tcW w:w="124" w:type="dxa"/>
            <w:tcBorders/>
            <w:vAlign w:val="center"/>
          </w:tcPr>
          <w:p>
            <w:pPr>
              <w:pStyle w:val="TableContents"/>
              <w:bidi w:val="0"/>
              <w:spacing w:before="0" w:after="283"/>
              <w:jc w:val="left"/>
              <w:rPr>
                <w:sz w:val="4"/>
                <w:szCs w:val="4"/>
              </w:rPr>
            </w:pPr>
            <w:r>
              <w:rPr>
                <w:sz w:val="4"/>
                <w:szCs w:val="4"/>
              </w:rPr>
            </w:r>
          </w:p>
        </w:tc>
        <w:tc>
          <w:tcPr>
            <w:tcW w:w="259"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(2)</w:t>
            </w:r>
          </w:p>
        </w:tc>
        <w:tc>
          <w:tcPr>
            <w:tcW w:w="982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14"/>
              </w:rPr>
            </w:pPr>
            <w:r>
              <w:rPr>
                <w:rFonts w:ascii="Times New Roman;Times;serif" w:hAnsi="Times New Roman;Times;serif"/>
                <w:b w:val="false"/>
                <w:i w:val="false"/>
                <w:caps w:val="false"/>
                <w:smallCaps w:val="false"/>
                <w:sz w:val="14"/>
              </w:rPr>
              <w:t>The Company did not conduct Phase 1 studies for these specific indications, but is planning to initiate a Phase 1b study and a Phase 2 study for HS and Asthma, respectively, based on the Phase 1 Atopic Dermatitis study.</w:t>
            </w:r>
          </w:p>
        </w:tc>
      </w:tr>
    </w:tbl>
    <w:p>
      <w:pPr>
        <w:pStyle w:val="TextBody"/>
        <w:bidi w:val="0"/>
        <w:spacing w:lineRule="auto" w:line="285" w:before="0" w:after="0"/>
        <w:ind w:left="144"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Soquelitinib (CPI-818), ITK Inhibitor.</w:t>
      </w:r>
      <w:r>
        <w:rPr>
          <w:rFonts w:ascii="Times New Roman;Times;serif" w:hAnsi="Times New Roman;Times;serif"/>
          <w:sz w:val="20"/>
        </w:rPr>
        <w:t xml:space="preserve"> Soquelitinib is an investigational selective, orally bioavailable, covalent inhibitor of ITK. ITK, an enzyme that functions in T cell signaling and differentiation, is expressed predominantly in T cells, which are lymphocytes that play a vital role in immune responses. T cell lymphomas are malignancies of T cells that proliferate and spread throughout the body. These lymphomas often have uncontrolled tonic signaling through the T cell receptor pathway, which involves ITK. Inhibition of ITK with soquelitinib could result in blockade of this signaling pathway and control the growth of the malignancy. In addition, one of the key survival mechanisms of both lymphomas and solid tumors is believed to be the reprogramming of normal T cells to create an environment in the tissues that inhibits an anti-tumor immune response and favors tumor growth. We believe highly selective inhibitors of this enzyme will facilitate induction of normal T cell anti-tumor immunity and may be useful in the treatment of solid tumors as well as lymphomas. A normal functioning immune system maintains balance between inflammation, needed to fight infection or eliminate noxious agents, and suppression of inflammation necessary when the inflammatory signals are eliminated. This balance is restored through the action of T regulatory cells, which dampen inflammatory responses. ITK plays a vital role in the function of these regulatory T cells where it acts to modulate immune responses.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ITK genetic knockout mice, which completely lack expression of ITK, T cells exhibit defects in T helper cell differentiation and cytokine secretion but retain the ability to differentiate into cytotoxic T cells that secrete IL-2 and interferon gamma (“IFNg”), which are the cells responsible for tumor rejection. We believe that skewing T helper cell differentiation to favor cytotoxic T cells, known as Th1 skewing, may be beneficial in treating T cell lymphomas and many other types of cancer. Mice with genetic knock-out of ITK also demonstrate a reduction in Th2 and Th17 cells, which produce the cytokines that are often responsible for autoimmunity and allergy such as interleukin (Il) Il-4, Il-5, Il-13, Il-17 and many others.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designed and developed soquelitinib to covalently target the cysteine amino acid residue at position 442 in the ITK protein. We believe this irreversible targeting of ITK has the potential to provide a potent, selective and prolonged duration of activity without the need for high systemic exposures and thereby improve the therapeutic window. This approach was previously used by our cofounders to generate ibrutinib. Selective inhibition of ITK can block the production and function of Th2 and Th17 helper T cells, potentially leading to a biasing toward the differentiation of naïve T cells into Th1 helper T cells. Th1 cells lead to the generation of killer T cells that can eliminate tumor cells or viral infected cells. Th1 cells produce interferon gamma and tumor necrosis factor that are cytokines known to destroy cancer cells. We believe, based on our preclinical and Phase 1/1b data from our T cell lymphoma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clinical trial, that soquelitinib has the potential to rebalance normal immune responses that also could be beneficial for the treatment of certain autoimmune, inflammatory and allergic diseases. Overactive Th2 and Th17 cells are known to play a role in autoimmune, inflammatory and allergic diseases, which can potentially be ameliorated by selective ITK inhibition by blocking Th2 and Th17 function and their production of inflammatory cytokines such as IL4, IL5, IL13, IL17 and others.</w:t>
      </w:r>
    </w:p>
    <w:p>
      <w:pPr>
        <w:pStyle w:val="TextBody"/>
        <w:bidi w:val="0"/>
        <w:spacing w:lineRule="auto" w:line="285" w:before="160" w:after="240"/>
        <w:ind w:left="0" w:right="0" w:firstLine="720"/>
        <w:jc w:val="left"/>
        <w:rPr>
          <w:rFonts w:ascii="Times New Roman;Times;serif" w:hAnsi="Times New Roman;Times;serif"/>
          <w:sz w:val="20"/>
        </w:rPr>
      </w:pPr>
      <w:r>
        <w:rPr>
          <w:rFonts w:ascii="Times New Roman;Times;serif" w:hAnsi="Times New Roman;Times;serif"/>
          <w:sz w:val="20"/>
        </w:rPr>
        <w:t>In December 2024, we and our academic collaborators published results describing the chemistry, enzymology and preclinical anti-tumor activity of soquelitinib in the journal npj Drug Discovery. Key results from the publication include that soquelitinib:</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Selectively bound to and inhibited ITK function while sparing other closely related kinases, including resting lymphocyte kinase.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Inhibited Th2 T cell function and the production of various Th2 cytokines leading to Th1 skewing and production of interferon gamma and tumor necrosis factor, which are important cytokines in tumor rejection. Th2 cytokines have been previously implicated in promoting tumor growth and are also involved in autoimmune and allergic diseases. </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Activated cytotoxic killer cells and increases infiltration of these cells into tumors.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and reversed T cell exhaustion resulting in a more potent and prolonged immune response. T cell exhaustion is often a major reason for resistance to immune checkpoint therapy.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Led to in vivo anti-tumor activity in several mouse tumor models, including colon, renal, melanoma, B cell and T cell tumor.</w:t>
            </w:r>
          </w:p>
        </w:tc>
      </w:tr>
    </w:tbl>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T cell lymphomas.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Soquelitinib is currently being studied both in cancer and in immune mediated diseases. A Phase 1/1b clinical trial was conducted in patients with relapsed T cell lymphomas that was designed to select the optimal dose of soquelitinib and evaluate its safety, pharmacokinetics (“PK”), target occupancy, immunologic effects, biomarkers and efficacy. The study is now complete, however, some of the patients remain on therapy and are continuing to receive follow-up monitoring. The trial enrolled 75 patients (27 in the dose escalation portion and 48 in dose expansion portion) with various T cell lymphomas, including peripheral T cell lymphoma (“PTCL”), T follicular helper cell lymphoma, natural killer cell T cell lymphoma, cutaneous T cell lymphoma, anaplastic large cell lymphoma and adult T cell lymphoma/leukemia. The median number of prior therapies was three (range 1-18), with only 31% achieving an objective response to their most recent prior therapy. In the dose escalation portion, patients received a twice-daily dose of soquelitinib of 100 mg, 200 mg, 400 mg or 600 mg, and the 200 mg twice-daily dose (“200 mg BID”) was selected for the dose expansion portion based on biomarker studies indicating that doses of 200 mg or higher achieved complete occupancy of the ITK target with the drug.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Final data from the Phase 1/1b clinical trial were presented at the American Society of Hematology Annual Meeting (“ASH”) in December 2025. Key highlights from the data supporting the ongoing registration Phase 3 trial in relapsed/refractory PTCL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dose limiting toxicities or significant adverse events were observed in any patients in all dose cohorts up to 600 mg twice-daily, including no myelosuppression or immunosuppression;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and durable tumor responses were seen in the 200 mg twice-daily cohort (N=36) with 6 patients experiencing complete responses;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the 200 mg twice-daily cohort, it was determined that patients with between ≥1 and ≤3 prior therapies and an adequate peripheral blood lymphocyte count (N=24) were most likely to be responders to therapy.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2514" w:type="dxa"/>
        <w:jc w:val="left"/>
        <w:tblInd w:w="0" w:type="dxa"/>
        <w:tblLayout w:type="fixed"/>
        <w:tblCellMar>
          <w:top w:w="28" w:type="dxa"/>
          <w:left w:w="28" w:type="dxa"/>
          <w:bottom w:w="28" w:type="dxa"/>
          <w:right w:w="28" w:type="dxa"/>
        </w:tblCellMar>
      </w:tblPr>
      <w:tblGrid>
        <w:gridCol w:w="124"/>
        <w:gridCol w:w="109"/>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this patient population:</w:t>
            </w:r>
          </w:p>
        </w:tc>
      </w:tr>
    </w:tbl>
    <w:tbl>
      <w:tblPr>
        <w:tblW w:w="9021" w:type="dxa"/>
        <w:jc w:val="left"/>
        <w:tblInd w:w="0" w:type="dxa"/>
        <w:tblLayout w:type="fixed"/>
        <w:tblCellMar>
          <w:top w:w="28" w:type="dxa"/>
          <w:left w:w="28" w:type="dxa"/>
          <w:bottom w:w="28" w:type="dxa"/>
          <w:right w:w="28" w:type="dxa"/>
        </w:tblCellMar>
      </w:tblPr>
      <w:tblGrid>
        <w:gridCol w:w="124"/>
        <w:gridCol w:w="226"/>
        <w:gridCol w:w="867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Objective responses were seen in 9 of 24 patients including 6 complete responses and 3 partial responses;</w:t>
            </w:r>
          </w:p>
        </w:tc>
      </w:tr>
    </w:tbl>
    <w:tbl>
      <w:tblPr>
        <w:tblW w:w="8481" w:type="dxa"/>
        <w:jc w:val="left"/>
        <w:tblInd w:w="0" w:type="dxa"/>
        <w:tblLayout w:type="fixed"/>
        <w:tblCellMar>
          <w:top w:w="28" w:type="dxa"/>
          <w:left w:w="28" w:type="dxa"/>
          <w:bottom w:w="28" w:type="dxa"/>
          <w:right w:w="28" w:type="dxa"/>
        </w:tblCellMar>
      </w:tblPr>
      <w:tblGrid>
        <w:gridCol w:w="124"/>
        <w:gridCol w:w="226"/>
        <w:gridCol w:w="8131"/>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8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progression free survival (“PFS”) was 6.2 months, including an 18-month PFS of 30%; and</w:t>
            </w:r>
          </w:p>
        </w:tc>
      </w:tr>
    </w:tbl>
    <w:tbl>
      <w:tblPr>
        <w:tblW w:w="7206" w:type="dxa"/>
        <w:jc w:val="left"/>
        <w:tblInd w:w="0" w:type="dxa"/>
        <w:tblLayout w:type="fixed"/>
        <w:tblCellMar>
          <w:top w:w="28" w:type="dxa"/>
          <w:left w:w="28" w:type="dxa"/>
          <w:bottom w:w="28" w:type="dxa"/>
          <w:right w:w="28" w:type="dxa"/>
        </w:tblCellMar>
      </w:tblPr>
      <w:tblGrid>
        <w:gridCol w:w="124"/>
        <w:gridCol w:w="226"/>
        <w:gridCol w:w="6856"/>
      </w:tblGrid>
      <w:tr>
        <w:trPr/>
        <w:tc>
          <w:tcPr>
            <w:tcW w:w="124" w:type="dxa"/>
            <w:tcBorders/>
            <w:vAlign w:val="center"/>
          </w:tcPr>
          <w:p>
            <w:pPr>
              <w:pStyle w:val="TableContents"/>
              <w:bidi w:val="0"/>
              <w:spacing w:before="0" w:after="283"/>
              <w:jc w:val="left"/>
              <w:rPr>
                <w:sz w:val="4"/>
                <w:szCs w:val="4"/>
              </w:rPr>
            </w:pPr>
            <w:r>
              <w:rPr>
                <w:sz w:val="4"/>
                <w:szCs w:val="4"/>
              </w:rPr>
            </w:r>
          </w:p>
        </w:tc>
        <w:tc>
          <w:tcPr>
            <w:tcW w:w="226" w:type="dxa"/>
            <w:tcBorders/>
            <w:tcMar>
              <w:top w:w="0" w:type="dxa"/>
              <w:left w:w="0" w:type="dxa"/>
              <w:bottom w:w="0" w:type="dxa"/>
              <w:right w:w="0" w:type="dxa"/>
            </w:tcMar>
            <w:vAlign w:val="center"/>
          </w:tcPr>
          <w:p>
            <w:pPr>
              <w:pStyle w:val="TableContents"/>
              <w:bidi w:val="0"/>
              <w:spacing w:before="0" w:after="283"/>
              <w:jc w:val="left"/>
              <w:rPr>
                <w:rFonts w:ascii="Courier New" w:hAnsi="Courier New"/>
                <w:sz w:val="20"/>
              </w:rPr>
            </w:pPr>
            <w:r>
              <w:rPr>
                <w:rFonts w:ascii="Courier New" w:hAnsi="Courier New"/>
                <w:sz w:val="20"/>
              </w:rPr>
              <w:t>o</w:t>
            </w:r>
          </w:p>
        </w:tc>
        <w:tc>
          <w:tcPr>
            <w:tcW w:w="68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Median overall survival (“OS”) was 28.1 months, including a 24-month OS of 67%</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Key highlights from the data supporting soquelitinib’s proposed mechanism of action (Th1 skewing and blocking Th2 and Th17 differentiation) and development in immune and inflammatory diseases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vitro studies demonstrated that at appropriate doses, soquelitinib produced Th1 skewing, which is an immunologic property resulting from the blockade of Th2 differentiation and a shift to Th1;</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Biomarker studies evaluating blood samples and tumor biopsies showed an increase in Th1 in blood and tumor samples and a reduction in serum IL-5, consistent with inhibiting Th2 and Th17 cells;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six patients, paired tumor biopsies were compared at baseline and day 8 and showed an increase in intratumor Th1 cells with treatment analyzed using RNA sequencing.</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August 2023, we completed an End-of-Phase/Pre-Phase 3 meeting with the Food and Drug Administration (“FDA”) regarding our plans to conduct a potentially registrational Phase 3 clinical trial of soquelitinib in relapsed PTCL. The FDA provided feedback on our proposed registration trial, including the proposed endpoints. We initiated this clinical trial in the third quarter of 2024. The clinical trial is designed to enroll a total of 150 patients with relapsed PTCL that have received ≥ 1 prior therapy and≤3 prior therapies. Patients are being randomized 1:1 to soquelitinib 200 mg two-times a day or one of the standard of care chemotherapies. The standard of care agent is selected based on the physician’s choice of either belinostat or pralatrexate. The primary endpoint is progression-free survival. Secondary endpoints include objective response rate, overall survival and duration of response. The study permits patients receiving the standard chemotherapy to cross-over to the soquelitinib treatment arm after disease progression is documented. An interim futility analysis is planned after a defined number of progression events occurs. It is anticipated that this will occur sometime in early 2027. Leading academic and private medical centers with significant experience in lymphoma research are participating in the trial, including investigators who have conducted other Phase 3 clinical trials in T cell lymphoma and authored many peer-reviewed articles on lymphomas. There are currently no FDA fully approved agents for the treatment of relapsed PTCL.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granted Fast Track designation to soquelitinib for the treatment of adult patients with relapsed or refractory PTCL after at least two lines of systemic therapy. In addition to Fast Track designation, soquelitinib has also been granted FDA orphan drug designation for the treatment of T cell lymphoma.</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atopic dermatitis.</w:t>
      </w:r>
    </w:p>
    <w:p>
      <w:pPr>
        <w:pStyle w:val="TextBody"/>
        <w:bidi w:val="0"/>
        <w:spacing w:lineRule="auto" w:line="285" w:before="160" w:after="240"/>
        <w:ind w:left="0" w:right="0" w:firstLine="720"/>
        <w:jc w:val="left"/>
        <w:rPr>
          <w:rFonts w:ascii="Times New Roman;Times;serif" w:hAnsi="Times New Roman;Times;serif"/>
          <w:sz w:val="20"/>
        </w:rPr>
      </w:pPr>
      <w:r>
        <w:rPr>
          <w:rFonts w:ascii="Times New Roman;Times;serif" w:hAnsi="Times New Roman;Times;serif"/>
          <w:sz w:val="20"/>
        </w:rPr>
        <w:t>In November 2023, we announced the posting of preclinical data on soquelitinib in bioRxiv that demonstrated that ITK’s selective inhibition produced therapeutic benefits in several autoimmune and allergy preclinical models, including psoriasis, asthma, pulmonary fibrosis, scleroderma and graft versus host disease. The mechanism of action involves the inhibition of Th2 and Th17 cells and their subsequent production of cytokines such as IL-4, IL-5, IL-17 and other cytokines involved in these diseases. The novel mechanism is a result of ITK inhibition and blockade of formation of Th2 and Th17 cells.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April 2024, we initiated a randomized, double-blind, placebo-controlled Phase 1 clinical trial with soquelitinib in patients with moderate to severe atopic dermatitis that previously failed one prior topical or systemic therapy. The clinical trial was planned to enroll 64 patients into one of four dosing cohorts in a 3:1 ratio (12 active and 4 placebo) to receive either soquelitinib or placebo. The cohorts were designed to sequentially enroll and to examine 100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mg oral twice per day, 200 mg oral once per day, 200 mg oral twice per day and 400 mg oral once per day. Patients would be treated for 28 days and are then followed for an additional 30 days with no therapy. The primary endpoints included safety and tolerability, and efficacy, measured by improvement in Eczema Area and Severity Index (“EASI”) score, Investigator Global Assessment (“IGA”), reduction in itch and various cytokine biomarkers. EASI scores are also evaluated by the percent of patients that achieve a specified percent reduction in EASI score – EASI 50 for patients that achieved a 50% reduction; EASI 75 for a 75% reduction; and EASI 90 for a 90% reduction.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May 6, 2025, enrollment into cohorts 1, 2 and 3 had been completed and we reported interim data for a total of 48 patients. These data covered 32 patients receiving soquelitinib and 12 receiving placebo with 28-day follow-up, and four additional patients receiving soquelitinib with 15-day follow-up from cohort 3. These four patients had not yet completed the 28-day treatment course. The percent reduction in mean EASI scores at 28 days for the combined cohort 1 and 2 group was 54.6% for patients receiving soquelitinib and 30.6% for patients receiving placebo. In cohort 3, the 200 mg BID cohort, the percent reduction in mean EASI score at 28 days was 71.1% for patients receiving soquelitinib and 42.1% for patients receiving placebo. Based on the encouraging results from cohorts 1-3, cohort 4 was prospectively redesigned to support and potentially extend the clinical results obtained in the initial cohorts. Cohort 4 was expanded to enroll 24 patients randomized 1:1 to receive soquelitinib 200 mg BID (the same dose as cohort 3) or placebo, and the treatment period was extended to 56 days from the 28-day treatment period used for cohorts 1-3.</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January 20, 2026, we announced positive results from cohort 4 of our randomized, blinded, placebo-controlled Phase 1 clinical trial evaluating soquelitinib in patients with moderate to severe atopic dermatitis. The cohort 4 data demonstrated favorable safety and efficacy results consistent with results from cohorts 1-3, including a deepening of responses in cohort 4 over the 8-week treatment period compared to the 4-week treatment period. The results also showed clinical activity in patients who had received prior systemic therapies, including patients resistant to therapies like dupilumab and JAK inhibitors.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January 15, 2026, enrollment in cohort 4 was completed and all soquelitinib treated patients (n=12) had completed the 56-day treatment course. Of the 12 enrolled placebo patients, 10 were evaluable at day 56, as two patients were non-compliant and missed the day 56 visit; these two patients completed additional follow up at later time points. Patients in cohort 4 had similar baseline characteristics compared to patients in cohort 3, with patients in these cohorts having more advanced disease with a higher mean baseline EASI score compared to patients in cohorts 1 and 2. The mean baseline EASI in cohort 4 was 25.7 for the patients treated with soquelitinib and 21.9 for patients that received placebo. Across all four cohorts (n=72), 35% of patients had received prior systemic therapies (n=25), including 50% of patients (n=12) in cohort 4. Overall, all four cohorts showed meaningful responses in the soquelitinib treatment groups compared to placebo for clinically significant endpoints of EASI 75 and IGA 0 or 1.</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 day 56, the mean percent reduction in EASI for patients receiving soquelitinib in cohort 4 (n=12) was 72%, compared to 40% for patients receiving placebo (n=10). The kinetics of response demonstrated continuous improvement from day 28 to day 56 with widening separation of the response curve compared to the placebo. Two placebo patients experienced disease flares requiring therapy during the 56-day treatment period compared to none in the soquelitinib group.</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Final data was presented at the Society for Investigative Dermatology (“SID”) Annual Meeting in May 2026. Figure 1 below summarizes the efficacy results for cohorts 1 through 4 evaluating EASI 75, EASI 90 and IGA 0 or 1. Cohort 3 and 4 results appear similar, with cohort 4 exhibiting higher frequency of EASI 75 and 90. EASI 75, EASI 90 and IGA 0 or 1 for cohort 4 was achieved in 75%, 25% and 33% of patients receiving soquelitinib, respectively, compared to 20%, 0% and 0%, respectively, for the placebo group. </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Figure 1: Percent Patients Achieving Endpoints EASI 75, EASI 90 and IGA 0 or 1 at Day 28 (cohorts 1-3) or at Day 56 (cohort 4) of Treatment.</w:t>
      </w:r>
    </w:p>
    <w:p>
      <w:pPr>
        <w:pStyle w:val="TextBody"/>
        <w:bidi w:val="0"/>
        <w:spacing w:lineRule="auto" w:line="285" w:before="0" w:after="0"/>
        <w:ind w:left="0" w:right="0" w:hanging="0"/>
        <w:jc w:val="left"/>
        <w:rPr/>
      </w:pPr>
      <w:r>
        <w:rPr/>
        <w:drawing>
          <wp:inline distT="0" distB="0" distL="0" distR="0">
            <wp:extent cx="5943600" cy="2717800"/>
            <wp:effectExtent l="0" t="0" r="0" b="0"/>
            <wp:docPr id="27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2" descr=""/>
                    <pic:cNvPicPr>
                      <a:picLocks noChangeAspect="1" noChangeArrowheads="1"/>
                    </pic:cNvPicPr>
                  </pic:nvPicPr>
                  <pic:blipFill>
                    <a:blip r:embed="rId3"/>
                    <a:stretch>
                      <a:fillRect/>
                    </a:stretch>
                  </pic:blipFill>
                  <pic:spPr bwMode="auto">
                    <a:xfrm>
                      <a:off x="0" y="0"/>
                      <a:ext cx="5943600" cy="271780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2 below shows the kinetics of response for cohort 4 patients receiving soquelitinib and placebo. Separation of the curves was seen at the first visit on day 15 and continuously increased out to day 56. At day 56, the difference in the curves is statistically significant, p=0.035. The disease control continued in the 30-day post treatment follow up period.</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2: Percent Reduction in Mean EASI for Cohort 4.</w:t>
      </w:r>
      <w:r>
        <w:rPr>
          <w:rFonts w:ascii="Times New Roman;Times;serif" w:hAnsi="Times New Roman;Times;serif"/>
          <w:sz w:val="20"/>
        </w:rPr>
        <w:t xml:space="preserve"> </w:t>
      </w:r>
      <w:r>
        <w:rPr>
          <w:rFonts w:ascii="Times New Roman;Times;serif" w:hAnsi="Times New Roman;Times;serif"/>
          <w:i/>
          <w:sz w:val="20"/>
        </w:rPr>
        <w:t>Mean percent change in EASI over time is shown. Treatment beginning is designated “Baseline” and days post-baseline are shown. Screening to baseline data are shown and demonstrate relative disease stability. The study blinding remained in effect for the entire 86-day period. Numbers at the top of the graphs indicate numbers of patients evaluated at the various time points.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drawing>
          <wp:inline distT="0" distB="0" distL="0" distR="0">
            <wp:extent cx="6163310" cy="3401695"/>
            <wp:effectExtent l="0" t="0" r="0" b="0"/>
            <wp:docPr id="28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3" descr=""/>
                    <pic:cNvPicPr>
                      <a:picLocks noChangeAspect="1" noChangeArrowheads="1"/>
                    </pic:cNvPicPr>
                  </pic:nvPicPr>
                  <pic:blipFill>
                    <a:blip r:embed="rId4"/>
                    <a:stretch>
                      <a:fillRect/>
                    </a:stretch>
                  </pic:blipFill>
                  <pic:spPr bwMode="auto">
                    <a:xfrm>
                      <a:off x="0" y="0"/>
                      <a:ext cx="6163310" cy="3401695"/>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3A and 3B below show the response curves for soquelitinib and placebo patients across all patients in cohorts 1-4 and in patients in cohorts 3-4 only, also segmented into sub-groups by those who had or had not received prior systemic therapies. Across all four cohorts, 25 patients (35% of all patients) received prior systemic therapies with dupilumab being the most common prior systemic therapy (n=11). Other prior systemic therapies included JAK inhibitors, corticosteroids and investigational agents. The response curves are nearly identical for soquelitinib treated patients, regardless of their history of prior systemic therapy. Placebo patients who had prior systemic therapy had a lesser reduction in EASI compared to placebo patients who had not received prior systemic therapy. These Phase 1 results show separation of the curves for patients receiving soquelitinib compared to placebo and demonstrate that soquelitinib was similarly active in both systemic treatment naïve or experienced patients. Also, prior systemic therapy experienced patients appeared to have worse disease. The two placebo patients who achieved EASI 75 had not received prior systemic therapy. None of the seven placebo patients who had received prior systemic therapy achieved EASI 75 or EASI 50; whereas, three of the five soquelitinib treated patients who received prior systemic therapy achieved EASI 75.</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3A, 3B: Percent Reduction in Mean EASI for Cohorts 1-4– Breakout of Patients with or without Prior Systemic Therapy</w:t>
      </w:r>
      <w:r>
        <w:rPr>
          <w:rFonts w:ascii="Times New Roman;Times;serif" w:hAnsi="Times New Roman;Times;serif"/>
          <w:b/>
          <w:i/>
          <w:sz w:val="20"/>
        </w:rPr>
        <w:t>.</w:t>
      </w:r>
      <w:r>
        <w:rPr>
          <w:rFonts w:ascii="Times New Roman;Times;serif" w:hAnsi="Times New Roman;Times;serif"/>
          <w:sz w:val="20"/>
        </w:rPr>
        <w:t xml:space="preserve"> </w:t>
      </w:r>
      <w:r>
        <w:rPr>
          <w:rFonts w:ascii="Times New Roman;Times;serif" w:hAnsi="Times New Roman;Times;serif"/>
          <w:i/>
          <w:sz w:val="20"/>
        </w:rPr>
        <w:t xml:space="preserve">In Figure 3A, mean percent change in EASI over time is shown for all patients in Cohort 1-4 (left) and for those who received prior therapy (right). In Figure 3B, similar analysis is shown for patients in cohort 3 and 4; these patients received the 200 mg twice daily dose. In all charts, treatment beginning is designated “Baseline” and weeks post-baseline are shown. Placebo patients include cohorts 1-4. Soquelitinib cohorts 3 and 4 are combined (200 mg twice daily doses used in both of these cohorts). </w:t>
      </w:r>
    </w:p>
    <w:p>
      <w:pPr>
        <w:pStyle w:val="TextBody"/>
        <w:bidi w:val="0"/>
        <w:spacing w:before="0" w:after="0"/>
        <w:jc w:val="left"/>
        <w:rPr/>
      </w:pPr>
      <w:r>
        <w:rPr/>
        <w:drawing>
          <wp:inline distT="0" distB="0" distL="0" distR="0">
            <wp:extent cx="5943600" cy="2672080"/>
            <wp:effectExtent l="0" t="0" r="0" b="0"/>
            <wp:docPr id="28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Image4" descr=""/>
                    <pic:cNvPicPr>
                      <a:picLocks noChangeAspect="1" noChangeArrowheads="1"/>
                    </pic:cNvPicPr>
                  </pic:nvPicPr>
                  <pic:blipFill>
                    <a:blip r:embed="rId5"/>
                    <a:stretch>
                      <a:fillRect/>
                    </a:stretch>
                  </pic:blipFill>
                  <pic:spPr bwMode="auto">
                    <a:xfrm>
                      <a:off x="0" y="0"/>
                      <a:ext cx="5943600" cy="2672080"/>
                    </a:xfrm>
                    <a:prstGeom prst="rect">
                      <a:avLst/>
                    </a:prstGeom>
                  </pic:spPr>
                </pic:pic>
              </a:graphicData>
            </a:graphic>
          </wp:inline>
        </w:drawing>
      </w:r>
    </w:p>
    <w:p>
      <w:pPr>
        <w:pStyle w:val="TextBody"/>
        <w:bidi w:val="0"/>
        <w:jc w:val="left"/>
        <w:rPr/>
      </w:pPr>
      <w:r>
        <w:rPr/>
        <w:drawing>
          <wp:inline distT="0" distB="0" distL="0" distR="0">
            <wp:extent cx="5943600" cy="2684780"/>
            <wp:effectExtent l="0" t="0" r="0" b="0"/>
            <wp:docPr id="28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Image5" descr=""/>
                    <pic:cNvPicPr>
                      <a:picLocks noChangeAspect="1" noChangeArrowheads="1"/>
                    </pic:cNvPicPr>
                  </pic:nvPicPr>
                  <pic:blipFill>
                    <a:blip r:embed="rId6"/>
                    <a:stretch>
                      <a:fillRect/>
                    </a:stretch>
                  </pic:blipFill>
                  <pic:spPr bwMode="auto">
                    <a:xfrm>
                      <a:off x="0" y="0"/>
                      <a:ext cx="5943600" cy="2684780"/>
                    </a:xfrm>
                    <a:prstGeom prst="rect">
                      <a:avLst/>
                    </a:prstGeom>
                  </pic:spPr>
                </pic:pic>
              </a:graphicData>
            </a:graphic>
          </wp:inline>
        </w:drawing>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Figure 4 below shows longer follow up from cohort 3 patients, who also received the 200 mg twice-daily dose. The data show maintenance or improvement in EASI out to 3 months beyond the treatment period and an increase of circulating Treg cells. The biomarker data suggest that soquelitinib induced an immune system rebalancing involving Treg cells.</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jc w:val="left"/>
        <w:rPr/>
      </w:pPr>
      <w:r>
        <w:rPr/>
        <w:drawing>
          <wp:inline distT="0" distB="0" distL="0" distR="0">
            <wp:extent cx="5943600" cy="3268980"/>
            <wp:effectExtent l="0" t="0" r="0" b="0"/>
            <wp:docPr id="28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Image6" descr=""/>
                    <pic:cNvPicPr>
                      <a:picLocks noChangeAspect="1" noChangeArrowheads="1"/>
                    </pic:cNvPicPr>
                  </pic:nvPicPr>
                  <pic:blipFill>
                    <a:blip r:embed="rId7"/>
                    <a:stretch>
                      <a:fillRect/>
                    </a:stretch>
                  </pic:blipFill>
                  <pic:spPr bwMode="auto">
                    <a:xfrm>
                      <a:off x="0" y="0"/>
                      <a:ext cx="5943600" cy="3268980"/>
                    </a:xfrm>
                    <a:prstGeom prst="rect">
                      <a:avLst/>
                    </a:prstGeom>
                  </pic:spPr>
                </pic:pic>
              </a:graphicData>
            </a:graphic>
          </wp:inline>
        </w:drawing>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b/>
          <w:sz w:val="20"/>
        </w:rPr>
        <w:t>Figure 4:</w:t>
      </w:r>
      <w:r>
        <w:rPr>
          <w:rFonts w:ascii="Times New Roman;Times;serif" w:hAnsi="Times New Roman;Times;serif"/>
          <w:sz w:val="20"/>
        </w:rPr>
        <w:t xml:space="preserve"> </w:t>
      </w:r>
      <w:r>
        <w:rPr>
          <w:rFonts w:ascii="Times New Roman;Times;serif" w:hAnsi="Times New Roman;Times;serif"/>
          <w:b/>
          <w:sz w:val="20"/>
        </w:rPr>
        <w:t>Percent Reduction in Mean EASI for Cohort 3 and percent change in Treg cells for cohorts 1-3.</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Reduction in serum IL-4 cytokine was observed in cohorts 3 and 4, both during the treatment period and in the post treatment period, including a dose dependent response with cohort 4 patients showing the largest reductions in IL-4 out to day 86. Biomarker data from cohorts 1 through 3 shows a reduction in serum IL-5 cytokine for cohorts 1 through 3 compared to placebo, including a dose dependent response with cohort 3 patients showing the largest reductions in IL-5 compared to placebo. The reduction in serum IL-5 occurred as early as day 8 of therapy. Serum IL-17 and TARC levels also were lower. Circulating Th2 cells were measured (n=6 cohorts 1 and 2) by scRNA seq technology and demonstrated a reduction in these cells with treatment. As noted above, circulating Tregs cells increased in patients in cohort 3 and were associated with a prolonged treatment effect. These results are consistent with soquelitinib’s observed ability to block Th2 and Th17 cells and their secreted cytokines, such as IL-4, IL-5, IL-17 and the effects on T reg cells. This biomarker data suggest that soquelitinib induced an immune system rebalancing involving Th1, Th2, Th17 and Treg cells. </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No new safety signals had been observed. Reported adverse events occurred in 41.7% of soquelitinib patients and 41.7% of placebo patients; all were Grade 1-2 and did not result in any dose modifications or interruptions. No severe or serious adverse events were reported. No significant lab abnormalities were seen.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Biomarker highlights and immunologic studies from the soquelitinib Phase 1 atopic dermatitis clinical trial were also presented at the SID Annual Meeting in May 2026. The results from these studies support soquelitinib’s mechanism of action, including the potential for drug-free remissions:</w:t>
      </w:r>
    </w:p>
    <w:tbl>
      <w:tblPr>
        <w:tblW w:w="7986" w:type="dxa"/>
        <w:jc w:val="left"/>
        <w:tblInd w:w="0" w:type="dxa"/>
        <w:tblLayout w:type="fixed"/>
        <w:tblCellMar>
          <w:top w:w="28" w:type="dxa"/>
          <w:left w:w="28" w:type="dxa"/>
          <w:bottom w:w="28" w:type="dxa"/>
          <w:right w:w="28" w:type="dxa"/>
        </w:tblCellMar>
      </w:tblPr>
      <w:tblGrid>
        <w:gridCol w:w="124"/>
        <w:gridCol w:w="256"/>
        <w:gridCol w:w="76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Blocking Th2 and Th17 function and their related downstream cytokines (IL-4, IL-5, IL-13).</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Increasing persistent Treg cells, both during treatment and in the post-treatment, drug-free period, by regulating the switch to Treg cells from Th17 cells.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Inhibiting JAK-STAT signaling, upregulating SOCS3 (suppressor of cytokine signaling 3 protein, a negative regulator of JAK-STAT signaling) and reducing JAK1 and STAT6.</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March 2026, we initiated a Phase 2 clinical trial of soquelitinib for the treatment of atopic dermatitis. The trial is anticipated to enroll approximately 200 patients with moderate-to-severe atopic dermatitis that have failed at least one prior topical or systemic therapy. The trial is blinded and is anticipated to enroll four cohorts of 50 patients each, with soquelitinib doses of: 200 mg once per day; 200 mg twice per day; and 400 mg once per day; along with a placebo group. The treatment period is anticipated to be 12 weeks with a 90-day follow-up period with no treatment. The primary endpoint of the trial is the percent change from baseline in EASI score at week 12.</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our partner in China, is enrolling a Phase 1b/2 clinical trial evaluating soquelitinib in patients with moderate-to-severe atopic dermatitis. This is a blinded, placebo-controlled trial that is planned to evaluate a 12-week treatment regimen in 48 patients utilizing soquelitinib doses of 100 mg twice per day, 200 mg once per day, 200 mg twice per day and 400 mg once per day. The patient eligibility and endpoints are similar to those used previously in our Phase 1 clinical trial. Depending on the results from the Phase 1b portion of the study, an additional 60-90 patients will be enrolled in the Phase 2 portion of the study. The trial is open at several leading dermatology centers in China who have been involved in global registration trials. The study is being conducted in close collaboration with Corvus. Results from the cohort 1 (100mg twice per day, 200 mg once per day and placebo) are anticipated late this year.</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Soquelitinib for treatment of other immune diseases.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results from our on-going and completed studies, we are planning to conduct additional clinical trials to evaluate soquelitinib for the treatment of other immune diseases, including a Phase 1b clinical trial in hidradenitis suppurativa and a Phase 2 clinical trial in asthma. Start-up activities for these clinical trials have begun and we anticipate both will be initiated later this year.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Beyond our current and planned clinical trials for soquelitinib, we also continue to advance our next-generation ITK inhibitor preclinical product candidates, which were designed to deliver precise T-cell modulation that is optimized for specific immunology indications. The next-generation ITK inhibitor candidates are part of our ongoing business development efforts to maximize the potential of our ITK inhibitor programs and other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issued patents covering composition of matter and uses of our ITK inhibitors and hold exclusive worldwide rights (except for greater China) for all indications.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b/>
          <w:i/>
          <w:sz w:val="20"/>
        </w:rPr>
        <w:t>Ciforadenant Adenosine A2A Receptor Antagonist.</w:t>
      </w:r>
      <w:r>
        <w:rPr>
          <w:rFonts w:ascii="Times New Roman;Times;serif" w:hAnsi="Times New Roman;Times;serif"/>
          <w:sz w:val="20"/>
        </w:rPr>
        <w:t xml:space="preserve"> Our second product candidate, ciforadenant, is an oral, small molecule antagonist of the A2A receptor for adenosine designed to disable a tumor’s ability to subvert attack by the immune system by blocking the binding of immunosuppressive adenosine in the tumor microenvironment to the A2A receptor. In 2018, we published preclinical findings in animal tumor models demonstrating that treatment with anti-CTLA4 antibody combined with ciforadenant provided synergistic anti-tumor activity based on a novel proposed mechanism of action. We are collaborating with the Kidney Cancer Research Consortium to evaluate ciforadenant in an open label Phase 1b/2 clinical trial as a first line therapy for metastatic RCC in combination with ipilimumab (anti-CTLA-4) and nivolumab (anti-PD-1). The efficacy endpoints for the trial are deep response rate, defined as CR plus PRs of greater than 50% tumor volume reduction as well as progression free survival. The clinical trial is planned to enroll up to 60 patients. The protocol defined pre-specified statistical threshold for efficacy is a 50% increase above the 32% deep response rate seen with previous ipilimumab/nivolumab combination trials in RCC conducted by investigators at the Kidney Cancer Research Consortium. Interim results from this trial were reported at the European Society of Clinical Oncology meeting in October 2025. The deep response rate was 34%, demonstrating an improvement compared to historical data for the combination of ipilimumab and nivolumab alone, though not statistically significant. Patients with stable or responding disease continue to be followed. No further trials are planned.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b/>
          <w:i/>
          <w:sz w:val="20"/>
        </w:rPr>
        <w:t>Mupadolimab, B Cell Activating Anti-CD73 Antibody.</w:t>
      </w:r>
      <w:r>
        <w:rPr>
          <w:rFonts w:ascii="Times New Roman;Times;serif" w:hAnsi="Times New Roman;Times;serif"/>
          <w:sz w:val="20"/>
        </w:rPr>
        <w:t xml:space="preserve"> Our third product candidate is mupadolimab, a humanized monoclonal antibody that is designed to react with a specific site on CD73. In both preclinical and in vivo studies, mupadolimab has demonstrated binding to various immune cells and the enhancement of immune responses by activating B cells. While we believe mupadolimab has the potential to be an important new therapeutic agent with a novel proposed mechanism of action to support its development for the treatment of a broad range of cancers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infectious diseases, we are waiting to initiate a potential Phase 2 randomized clinical trial in order to prioritize the development of our other two lead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the majority of our efforts have been focused on the research, development and advancement of soquelitinib, ciforadenant, and mupadolimab, and we have not generated any revenue from product sales and, as a result, we have incurred significant losses. We expect to continue to incur significant research and development and general and administrative expenses related to our operations. Our net loss for the three and six months ended June 30, 2026 and 2025 was $18.0 million and $31.7 million, respectively. Our net loss for the three months ended June 30, 2025 was $8.0 million and our net income for the six months ended June 30, 2025 was $7.2 million, which includes non-operating income of $27.1 million associated with a change in fair value of warrant liability. As of June 30, 2026, we had an accumulated deficit of $443.9 million. We expect our losses will increase as we continue our development of, seek regulatory approval for and, if approved, begin to commercialize soquelitinib, ciforadenant and mupadolimab, and as we develop other product candidates. Even if we achieve profitability in the future, we may not be able to sustain profitability in subsequent periods.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June 30, 2026, we have funded our operations primarily through the sale and issuance of stock, including through our initial public offering (“IPO”) in March 2016 and subsequent follow-on public offerings, including a follow-on public offering of common stock which was completed on January 23, 2026 and resulted in aggregate net proceeds of approximately $189.4 million.</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On August 6, 2024, we entered into an Open Market Sale Agreement</w:t>
      </w:r>
      <w:r>
        <w:rPr>
          <w:rFonts w:ascii="Times New Roman;Times;serif" w:hAnsi="Times New Roman;Times;serif"/>
          <w:sz w:val="15"/>
        </w:rPr>
        <w:t>SM</w:t>
      </w:r>
      <w:r>
        <w:rPr>
          <w:rFonts w:ascii="Times New Roman;Times;serif" w:hAnsi="Times New Roman;Times;serif"/>
          <w:sz w:val="20"/>
        </w:rPr>
        <w:t xml:space="preserve"> (the “2024 Sales Agreement”) with Jefferies LLC (“Jefferies”) to sell shares of our common stock, from time-to-time, with aggregate gross sales proceeds of up to $100.0 million, through an at-the-market equity offering program under which Jefferies will act as our sales agent. The issuance and sale of shares of common stock pursuant to the 2024 Sales Agreement are deemed an “at-the-market” offering under the Securities Act of 1933, as amended. Jefferies is entitled to compensation for its services of up to 3.0% of the gross proceeds of any shares of common stock sold through Jefferies under the 2024 Sales Agreement.</w:t>
      </w:r>
    </w:p>
    <w:p>
      <w:pPr>
        <w:pStyle w:val="TextBody"/>
        <w:bidi w:val="0"/>
        <w:spacing w:lineRule="auto" w:line="240"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public offering, we suspended the at-the-market offering with respect to the 2024 Sales Agreement and, on March 13, 2026, entered into an Amended and Restated Open Market Sale Agreement</w:t>
      </w:r>
      <w:r>
        <w:rPr>
          <w:rFonts w:ascii="Times New Roman;Times;serif" w:hAnsi="Times New Roman;Times;serif"/>
          <w:sz w:val="15"/>
        </w:rPr>
        <w:t>SM</w:t>
      </w:r>
      <w:r>
        <w:rPr>
          <w:rFonts w:ascii="Times New Roman;Times;serif" w:hAnsi="Times New Roman;Times;serif"/>
          <w:sz w:val="20"/>
        </w:rPr>
        <w:t xml:space="preserve">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we did not sell any shares of common stock under our at-the-market offering program. As of June 30, 2026, $200.0 million remained available for sale under the Amended Sales Agreement.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three product candidates, soquelitinib, ciforadenant and mupadolimab, are in clinical development by us and/or our partner, Angel Pharmaceuticals. Except for Greater China, we own the world-wide rights to these product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a result of our ongoing development efforts, we anticipate needing to spend substantial resources for the foreseeable future. Consequently, we will need additional financing to support our continuing operations. Until such time as we can generate significant revenue from product sales, if ever, we expect to finance our operations through a combination of public or private equity or debt financings or other sources, which may include collaborations with third parties. Such financing could result in dilution to stockholders and may include the imposition of debt covenants and repayment obligations or other restrictions that may affect our business. If we raise additional capital through strategic collaboration agreements, we may have to relinquish valuable rights to our product candidates, including potential future revenue streams. Adequate additional financing may not be available to us on acceptable terms, or at all. For example, the trading prices for our and other biopharmaceutical companies’ stock have been highly volatile as a result of factors such as the impacts of pandemics and increases in inflation rates or interest rates or the broad imposition of tariffs and other trade controls. As a result, we may face difficulties raising capital through sales of our common stock and any such sales may be on unfavorable terms. Our inability to raise capital as and when needed would have a negative impact 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our financial condition and our ability to pursue our business strategy. We will need to generate significant revenue to achieve profitability, and we may never do so.</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we had capital resources consisting of cash, cash equivalents and marketable securities of approximately $215.2 million. Based on our currently available cash resources and our currently planned level of operations and cash flows, we expect that our cash resources will be sufficient to enable us to advance our programs into the second quarter of 2028. In accordance with applicable accounting standards, we evaluated whether there are conditions and events, considered in the aggregate, that raise substantial doubt about our ability to continue as a going concern for at least the next 12 months from the date of the issuance of the condensed consolidated financial statements included elsewhere in this Quarterly Report on Form 10-Q and concluded that our existing cash, cash equivalents and marketable securities are sufficient to fund our operations for at least the next 12 months from issuance of the condensed consolidated financial statements. However, the Company will need to continue to raise additional capital to fund its operations. See “Risk Factors—Risks Related to Our Limited Operating History, Financial Condition and Need for Additional Capital.”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no manufacturing capabilities and do not intend to establish any such capabilities. We have no commercial manufacturing facilities for our product candidates. As such, we are dependent on third parties to supply our product candidates according to our specifications, in sufficient quantities, on time, in compliance with appropriate regulatory standards and at competitive prices.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Significant Accounting Policies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significant accounting policies are described in Note 2 to our consolidated financial statements for the year ended December 31, 2025 included in our Annual Report on Form 10-K filed with the SEC on March 12, 2026. There have been no material changes to our significant accounting policies during the six months ended June 30, 2026 from those discussed in our Annual Report on Form 10-K.</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Components of 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Revenue</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To date, we have not generated any revenues. We do not expect to receive any revenues from any product candidates that we develop unless and until we obtain regulatory approval and commercialize our products or enter into revenue-generating collaboration agreements with third parties.</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research and development expenses consist primarily of costs incurred to conduct research and development of our product candidates. We record research and development expenses as incurred. Research and development expenses include:</w:t>
      </w:r>
    </w:p>
    <w:p>
      <w:pPr>
        <w:pStyle w:val="TextBody"/>
        <w:bidi w:val="0"/>
        <w:spacing w:lineRule="auto" w:line="285" w:before="0" w:after="0"/>
        <w:ind w:left="0" w:right="0" w:hanging="0"/>
        <w:jc w:val="left"/>
        <w:rPr/>
      </w:pPr>
      <w:r>
        <w:rPr/>
        <w:t>​</w:t>
      </w:r>
    </w:p>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expenses, including salaries, benefits, travel and non-cash stock-based compensation expense;</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external research and development expenses incurred under arrangements with third parties, such as contract research organizations, preclinical testing organizations, contract manufacturing organizations, academic and non-profit institutions and consultants;</w:t>
            </w:r>
          </w:p>
        </w:tc>
      </w:tr>
    </w:tbl>
    <w:p>
      <w:pPr>
        <w:pStyle w:val="TextBody"/>
        <w:bidi w:val="0"/>
        <w:spacing w:lineRule="auto" w:line="285" w:before="0" w:after="0"/>
        <w:ind w:left="72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acquire technologies to be used in research and development that have not reached technological feasibility and have no alternative future use;</w:t>
            </w:r>
          </w:p>
        </w:tc>
      </w:tr>
    </w:tbl>
    <w:p>
      <w:pPr>
        <w:pStyle w:val="TextBody"/>
        <w:bidi w:val="0"/>
        <w:spacing w:lineRule="auto" w:line="285" w:before="0" w:after="0"/>
        <w:ind w:left="720" w:right="0" w:hanging="0"/>
        <w:jc w:val="left"/>
        <w:rPr/>
      </w:pPr>
      <w:r>
        <w:rPr/>
        <w:t>​</w:t>
      </w:r>
    </w:p>
    <w:tbl>
      <w:tblPr>
        <w:tblW w:w="1866" w:type="dxa"/>
        <w:jc w:val="left"/>
        <w:tblInd w:w="0" w:type="dxa"/>
        <w:tblLayout w:type="fixed"/>
        <w:tblCellMar>
          <w:top w:w="28" w:type="dxa"/>
          <w:left w:w="28" w:type="dxa"/>
          <w:bottom w:w="28" w:type="dxa"/>
          <w:right w:w="28" w:type="dxa"/>
        </w:tblCellMar>
      </w:tblPr>
      <w:tblGrid>
        <w:gridCol w:w="124"/>
        <w:gridCol w:w="256"/>
        <w:gridCol w:w="1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license fees; and</w:t>
            </w:r>
          </w:p>
        </w:tc>
      </w:tr>
    </w:tbl>
    <w:p>
      <w:pPr>
        <w:pStyle w:val="TextBody"/>
        <w:bidi w:val="0"/>
        <w:spacing w:lineRule="auto" w:line="285" w:before="0" w:after="0"/>
        <w:ind w:left="72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661" w:type="dxa"/>
        <w:jc w:val="left"/>
        <w:tblInd w:w="0" w:type="dxa"/>
        <w:tblLayout w:type="fixed"/>
        <w:tblCellMar>
          <w:top w:w="28" w:type="dxa"/>
          <w:left w:w="28" w:type="dxa"/>
          <w:bottom w:w="28" w:type="dxa"/>
          <w:right w:w="28" w:type="dxa"/>
        </w:tblCellMar>
      </w:tblPr>
      <w:tblGrid>
        <w:gridCol w:w="124"/>
        <w:gridCol w:w="256"/>
        <w:gridCol w:w="82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which include direct and allocated expenses for laboratory, facilities and other costs.</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plan to increase our research and development expenses substantially as we continue the development and potential commercialization of our product candidates. Our current planned research and development activities include the following:</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ongoing Phase 3 potentially registrational clinical trial for soquelitinib in PTCL;</w:t>
            </w:r>
          </w:p>
        </w:tc>
      </w:tr>
    </w:tbl>
    <w:tbl>
      <w:tblPr>
        <w:tblW w:w="7941" w:type="dxa"/>
        <w:jc w:val="left"/>
        <w:tblInd w:w="0" w:type="dxa"/>
        <w:tblLayout w:type="fixed"/>
        <w:tblCellMar>
          <w:top w:w="28" w:type="dxa"/>
          <w:left w:w="28" w:type="dxa"/>
          <w:bottom w:w="28" w:type="dxa"/>
          <w:right w:w="28" w:type="dxa"/>
        </w:tblCellMar>
      </w:tblPr>
      <w:tblGrid>
        <w:gridCol w:w="124"/>
        <w:gridCol w:w="256"/>
        <w:gridCol w:w="75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enrollment and completion of our Phase 2 clinical trial for soquelitinib in atopic dermatitis;</w:t>
            </w:r>
          </w:p>
        </w:tc>
      </w:tr>
    </w:tbl>
    <w:tbl>
      <w:tblPr>
        <w:tblW w:w="4626" w:type="dxa"/>
        <w:jc w:val="left"/>
        <w:tblInd w:w="0" w:type="dxa"/>
        <w:tblLayout w:type="fixed"/>
        <w:tblCellMar>
          <w:top w:w="28" w:type="dxa"/>
          <w:left w:w="28" w:type="dxa"/>
          <w:bottom w:w="28" w:type="dxa"/>
          <w:right w:w="28" w:type="dxa"/>
        </w:tblCellMar>
      </w:tblPr>
      <w:tblGrid>
        <w:gridCol w:w="124"/>
        <w:gridCol w:w="256"/>
        <w:gridCol w:w="4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clinical trial for soquelitinib in asthma;</w:t>
            </w:r>
          </w:p>
        </w:tc>
      </w:tr>
    </w:tbl>
    <w:tbl>
      <w:tblPr>
        <w:tblW w:w="6036" w:type="dxa"/>
        <w:jc w:val="left"/>
        <w:tblInd w:w="0" w:type="dxa"/>
        <w:tblLayout w:type="fixed"/>
        <w:tblCellMar>
          <w:top w:w="28" w:type="dxa"/>
          <w:left w:w="28" w:type="dxa"/>
          <w:bottom w:w="28" w:type="dxa"/>
          <w:right w:w="28" w:type="dxa"/>
        </w:tblCellMar>
      </w:tblPr>
      <w:tblGrid>
        <w:gridCol w:w="124"/>
        <w:gridCol w:w="256"/>
        <w:gridCol w:w="56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potential clinical trial for soquelitinib in hidradenitis suppurativa;</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process development and manufacturing of drug supply of soquelitinib; and</w:t>
            </w:r>
          </w:p>
        </w:tc>
      </w:tr>
    </w:tbl>
    <w:tbl>
      <w:tblPr>
        <w:tblW w:w="8241" w:type="dxa"/>
        <w:jc w:val="left"/>
        <w:tblInd w:w="0" w:type="dxa"/>
        <w:tblLayout w:type="fixed"/>
        <w:tblCellMar>
          <w:top w:w="28" w:type="dxa"/>
          <w:left w:w="28" w:type="dxa"/>
          <w:bottom w:w="28" w:type="dxa"/>
          <w:right w:w="28" w:type="dxa"/>
        </w:tblCellMar>
      </w:tblPr>
      <w:tblGrid>
        <w:gridCol w:w="124"/>
        <w:gridCol w:w="256"/>
        <w:gridCol w:w="78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preclinical studies under our other programs in order to select development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to our product candidates that are in clinical development, we believe it is important to continue substantial investment in potential new product candidates to build the value of our product candidate pipeline and our business.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Our expenditures on current and future preclinical and clinical development programs are subject to numerous uncertainties related to timing and cost to completion. The duration, costs and timing of clinical trials and development of product candidates will depend on a variety of factors, including many of which are beyond our control. The process of conducting the necessary clinical research to obtain regulatory approval is costly and time consuming, and the successful development of our product candidates is uncertain. The risks and uncertainties associated with our research and development projects are discussed more fully in “Risk Factors.” As a result of these risks and uncertainties, we are unable to determine with any degree of certainty the duration and completion costs of our research and development projects or if, when or to what extent we will generate revenues from the commercialization and sale of any of our product candidates that obtain regulatory approval. We may never succeed in achieving regulatory approval for any of our product candidates.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General and Administrative Expenses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General and administrative expenses include personnel costs, expenses for outside professional services and allocated expenses. Personnel costs consist of salaries, benefits and stock-based compensation. Outside professional services consist of legal, accounting and audit services and other consulting fees. Allocated expenses consist of rent expense related to our office and research and development facility.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our general and administrative expenses will increase in the future as we increase our headcount to support our continued research and development and potential commercialization of one or more of our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i/>
          <w:sz w:val="20"/>
        </w:rPr>
        <w:t>Comparison of the periods below as indicated (in thousands)</w:t>
      </w:r>
      <w:r>
        <w:rPr>
          <w:rFonts w:ascii="Times New Roman;Times;serif" w:hAnsi="Times New Roman;Times;serif"/>
          <w:sz w:val="20"/>
        </w:rPr>
        <w:t>:</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408"/>
        <w:gridCol w:w="346"/>
        <w:gridCol w:w="211"/>
        <w:gridCol w:w="761"/>
        <w:gridCol w:w="146"/>
        <w:gridCol w:w="211"/>
        <w:gridCol w:w="761"/>
        <w:gridCol w:w="346"/>
        <w:gridCol w:w="211"/>
        <w:gridCol w:w="656"/>
        <w:gridCol w:w="346"/>
        <w:gridCol w:w="211"/>
        <w:gridCol w:w="761"/>
        <w:gridCol w:w="146"/>
        <w:gridCol w:w="211"/>
        <w:gridCol w:w="761"/>
        <w:gridCol w:w="346"/>
        <w:gridCol w:w="211"/>
        <w:gridCol w:w="761"/>
        <w:gridCol w:w="394"/>
      </w:tblGrid>
      <w:tr>
        <w:trPr/>
        <w:tc>
          <w:tcPr>
            <w:tcW w:w="2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1529080" cy="175260"/>
                      <wp:effectExtent l="0" t="0" r="0" b="0"/>
                      <wp:wrapNone/>
                      <wp:docPr id="284" name="Frame278"/>
                      <a:graphic xmlns:a="http://schemas.openxmlformats.org/drawingml/2006/main">
                        <a:graphicData uri="http://schemas.microsoft.com/office/word/2010/wordprocessingShape">
                          <wps:wsp>
                            <wps:cNvSpPr txBox="1"/>
                            <wps:spPr>
                              <a:xfrm>
                                <a:off x="0" y="0"/>
                                <a:ext cx="152908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219710" cy="175260"/>
                      <wp:effectExtent l="0" t="0" r="0" b="0"/>
                      <wp:wrapNone/>
                      <wp:docPr id="285" name="Frame27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133985" cy="175260"/>
                      <wp:effectExtent l="0" t="0" r="0" b="0"/>
                      <wp:wrapNone/>
                      <wp:docPr id="286" name="Frame28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483235" cy="175260"/>
                      <wp:effectExtent l="0" t="0" r="0" b="0"/>
                      <wp:wrapNone/>
                      <wp:docPr id="287" name="Frame281"/>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92710" cy="175260"/>
                      <wp:effectExtent l="0" t="0" r="0" b="0"/>
                      <wp:wrapNone/>
                      <wp:docPr id="288" name="Frame28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33985" cy="175260"/>
                      <wp:effectExtent l="0" t="0" r="0" b="0"/>
                      <wp:wrapNone/>
                      <wp:docPr id="289" name="Frame28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483235" cy="175260"/>
                      <wp:effectExtent l="0" t="0" r="0" b="0"/>
                      <wp:wrapNone/>
                      <wp:docPr id="290" name="Frame284"/>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219710" cy="175260"/>
                      <wp:effectExtent l="0" t="0" r="0" b="0"/>
                      <wp:wrapNone/>
                      <wp:docPr id="291" name="Frame28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133985" cy="175260"/>
                      <wp:effectExtent l="0" t="0" r="0" b="0"/>
                      <wp:wrapNone/>
                      <wp:docPr id="292" name="Frame28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416560" cy="175260"/>
                      <wp:effectExtent l="0" t="0" r="0" b="0"/>
                      <wp:wrapNone/>
                      <wp:docPr id="293" name="Frame287"/>
                      <a:graphic xmlns:a="http://schemas.openxmlformats.org/drawingml/2006/main">
                        <a:graphicData uri="http://schemas.microsoft.com/office/word/2010/wordprocessingShape">
                          <wps:wsp>
                            <wps:cNvSpPr txBox="1"/>
                            <wps:spPr>
                              <a:xfrm>
                                <a:off x="0" y="0"/>
                                <a:ext cx="4165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219710" cy="175260"/>
                      <wp:effectExtent l="0" t="0" r="0" b="0"/>
                      <wp:wrapNone/>
                      <wp:docPr id="294" name="Frame28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133985" cy="175260"/>
                      <wp:effectExtent l="0" t="0" r="0" b="0"/>
                      <wp:wrapNone/>
                      <wp:docPr id="295" name="Frame28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483235" cy="175260"/>
                      <wp:effectExtent l="0" t="0" r="0" b="0"/>
                      <wp:wrapNone/>
                      <wp:docPr id="296" name="Frame290"/>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92710" cy="175260"/>
                      <wp:effectExtent l="0" t="0" r="0" b="0"/>
                      <wp:wrapNone/>
                      <wp:docPr id="297" name="Frame291"/>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133985" cy="175260"/>
                      <wp:effectExtent l="0" t="0" r="0" b="0"/>
                      <wp:wrapNone/>
                      <wp:docPr id="298" name="Frame2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483235" cy="175260"/>
                      <wp:effectExtent l="0" t="0" r="0" b="0"/>
                      <wp:wrapNone/>
                      <wp:docPr id="299" name="Frame293"/>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19710" cy="175260"/>
                      <wp:effectExtent l="0" t="0" r="0" b="0"/>
                      <wp:wrapNone/>
                      <wp:docPr id="300" name="Frame29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133985" cy="175260"/>
                      <wp:effectExtent l="0" t="0" r="0" b="0"/>
                      <wp:wrapNone/>
                      <wp:docPr id="301" name="Frame2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483235" cy="175260"/>
                      <wp:effectExtent l="0" t="0" r="0" b="0"/>
                      <wp:wrapNone/>
                      <wp:docPr id="302" name="Frame296"/>
                      <a:graphic xmlns:a="http://schemas.openxmlformats.org/drawingml/2006/main">
                        <a:graphicData uri="http://schemas.microsoft.com/office/word/2010/wordprocessingShape">
                          <wps:wsp>
                            <wps:cNvSpPr txBox="1"/>
                            <wps:spPr>
                              <a:xfrm>
                                <a:off x="0" y="0"/>
                                <a:ext cx="4832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250190" cy="175260"/>
                      <wp:effectExtent l="0" t="0" r="0" b="0"/>
                      <wp:wrapNone/>
                      <wp:docPr id="303" name="Frame297"/>
                      <a:graphic xmlns:a="http://schemas.openxmlformats.org/drawingml/2006/main">
                        <a:graphicData uri="http://schemas.microsoft.com/office/word/2010/wordprocessingShape">
                          <wps:wsp>
                            <wps:cNvSpPr txBox="1"/>
                            <wps:spPr>
                              <a:xfrm>
                                <a:off x="0" y="0"/>
                                <a:ext cx="25019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4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9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56"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w:t>
            </w:r>
          </w:p>
        </w:tc>
        <w:tc>
          <w:tcPr>
            <w:tcW w:w="209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761" w:type="dxa"/>
            <w:tcBorders/>
            <w:vAlign w:val="center"/>
          </w:tcPr>
          <w:p>
            <w:pPr>
              <w:pStyle w:val="TableContents"/>
              <w:bidi w:val="0"/>
              <w:spacing w:lineRule="auto" w:line="285" w:before="0" w:after="0"/>
              <w:ind w:left="0" w:right="0" w:hanging="0"/>
              <w:jc w:val="center"/>
              <w:rPr/>
            </w:pPr>
            <w:r>
              <w:rPr/>
              <w:t>​</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867"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center"/>
              <w:rPr/>
            </w:pPr>
            <w:r>
              <w:rPr/>
              <w:t>  ​ ​ ​</w:t>
            </w:r>
          </w:p>
        </w:tc>
        <w:tc>
          <w:tcPr>
            <w:tcW w:w="209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972" w:type="dxa"/>
            <w:gridSpan w:val="2"/>
            <w:tcBorders/>
            <w:vAlign w:val="center"/>
          </w:tcPr>
          <w:p>
            <w:pPr>
              <w:pStyle w:val="TableContents"/>
              <w:bidi w:val="0"/>
              <w:spacing w:lineRule="auto" w:line="285" w:before="0" w:after="0"/>
              <w:ind w:left="0" w:right="0" w:hanging="0"/>
              <w:jc w:val="center"/>
              <w:rPr/>
            </w:pPr>
            <w:r>
              <w:rPr/>
              <w:t>​</w:t>
            </w:r>
          </w:p>
        </w:tc>
        <w:tc>
          <w:tcPr>
            <w:tcW w:w="394" w:type="dxa"/>
            <w:tcBorders/>
            <w:vAlign w:val="center"/>
          </w:tcPr>
          <w:p>
            <w:pPr>
              <w:pStyle w:val="TableContents"/>
              <w:bidi w:val="0"/>
              <w:spacing w:lineRule="auto" w:line="285" w:before="0" w:after="0"/>
              <w:ind w:left="0" w:right="0" w:hanging="0"/>
              <w:jc w:val="left"/>
              <w:rPr/>
            </w:pPr>
            <w:r>
              <w:rPr/>
              <w:t>  ​ ​ ​</w:t>
            </w:r>
          </w:p>
        </w:tc>
      </w:tr>
      <w:tr>
        <w:trPr/>
        <w:tc>
          <w:tcPr>
            <w:tcW w:w="2408"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86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center"/>
              <w:rPr/>
            </w:pPr>
            <w:r>
              <w:rPr/>
              <w:t>​</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146" w:type="dxa"/>
            <w:tcBorders/>
            <w:vAlign w:val="center"/>
          </w:tcPr>
          <w:p>
            <w:pPr>
              <w:pStyle w:val="TableContents"/>
              <w:bidi w:val="0"/>
              <w:spacing w:lineRule="auto" w:line="285"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97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656"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  ​</w:t>
            </w:r>
          </w:p>
        </w:tc>
        <w:tc>
          <w:tcPr>
            <w:tcW w:w="1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61" w:type="dxa"/>
            <w:tcBorders/>
            <w:shd w:fill="CCEEFF" w:val="clear"/>
            <w:vAlign w:val="center"/>
          </w:tcPr>
          <w:p>
            <w:pPr>
              <w:pStyle w:val="TableContents"/>
              <w:bidi w:val="0"/>
              <w:spacing w:lineRule="auto" w:line="285" w:before="0" w:after="0"/>
              <w:ind w:left="0" w:right="0" w:hanging="0"/>
              <w:jc w:val="right"/>
              <w:rPr/>
            </w:pPr>
            <w:r>
              <w:rPr/>
              <w:t>  ​</w:t>
            </w:r>
          </w:p>
        </w:tc>
        <w:tc>
          <w:tcPr>
            <w:tcW w:w="394" w:type="dxa"/>
            <w:tcBorders/>
            <w:shd w:fill="CCEEFF" w:val="clear"/>
            <w:vAlign w:val="center"/>
          </w:tcPr>
          <w:p>
            <w:pPr>
              <w:pStyle w:val="TableContents"/>
              <w:bidi w:val="0"/>
              <w:spacing w:lineRule="auto" w:line="285" w:before="0" w:after="0"/>
              <w:ind w:left="0" w:right="0" w:hanging="0"/>
              <w:jc w:val="left"/>
              <w:rPr/>
            </w:pPr>
            <w:r>
              <w:rPr/>
              <w:t> </w:t>
            </w:r>
          </w:p>
        </w:tc>
      </w:tr>
      <w:tr>
        <w:trPr/>
        <w:tc>
          <w:tcPr>
            <w:tcW w:w="24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15,964</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27,139</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11,813</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3,333</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2,387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7,035</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4,856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2,179</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24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10,260</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65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9,037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34,174</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13,992</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(19,297)</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(10,260)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65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(9,037)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(34,174)</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(20,182)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6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(13,992)</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24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Interest income and other expense, net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2,047</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5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3,831</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76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2,667</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Change in fair value of warrant liability</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(2,012)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pPr>
            <w:r>
              <w:rPr/>
              <w:t>—</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(27,141)</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24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Income (loss) before equity method investment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(17,250)</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(7,609)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65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(9,641)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(30,343)</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8,123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(38,466)</w:t>
            </w:r>
          </w:p>
        </w:tc>
        <w:tc>
          <w:tcPr>
            <w:tcW w:w="394" w:type="dxa"/>
            <w:tcBorders/>
            <w:vAlign w:val="center"/>
          </w:tcPr>
          <w:p>
            <w:pPr>
              <w:pStyle w:val="TableContents"/>
              <w:bidi w:val="0"/>
              <w:spacing w:lineRule="auto" w:line="285" w:before="0" w:after="0"/>
              <w:ind w:left="0" w:right="0" w:hanging="0"/>
              <w:jc w:val="left"/>
              <w:rPr/>
            </w:pPr>
            <w:r>
              <w:rPr/>
              <w:t>​</w:t>
            </w:r>
          </w:p>
        </w:tc>
      </w:tr>
      <w:tr>
        <w:trPr/>
        <w:tc>
          <w:tcPr>
            <w:tcW w:w="2408"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Loss from equity method investment</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(709)</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5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(320)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(1,308)</w:t>
            </w:r>
          </w:p>
        </w:tc>
        <w:tc>
          <w:tcPr>
            <w:tcW w:w="1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(928)</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76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(380)</w:t>
            </w:r>
          </w:p>
        </w:tc>
        <w:tc>
          <w:tcPr>
            <w:tcW w:w="394" w:type="dxa"/>
            <w:tcBorders/>
            <w:shd w:fill="CCEEFF" w:val="clear"/>
            <w:vAlign w:val="center"/>
          </w:tcPr>
          <w:p>
            <w:pPr>
              <w:pStyle w:val="TableContents"/>
              <w:bidi w:val="0"/>
              <w:spacing w:lineRule="auto" w:line="285" w:before="0" w:after="0"/>
              <w:ind w:left="0" w:right="0" w:hanging="0"/>
              <w:jc w:val="left"/>
              <w:rPr/>
            </w:pPr>
            <w:r>
              <w:rPr/>
              <w:t>​</w:t>
            </w:r>
          </w:p>
        </w:tc>
      </w:tr>
      <w:tr>
        <w:trPr/>
        <w:tc>
          <w:tcPr>
            <w:tcW w:w="2408"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(loss) income</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(17,959)</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(7,998)</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5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(9,961)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(31,651)</w:t>
            </w:r>
          </w:p>
        </w:tc>
        <w:tc>
          <w:tcPr>
            <w:tcW w:w="1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7,195</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(38,846)</w:t>
            </w:r>
          </w:p>
        </w:tc>
        <w:tc>
          <w:tcPr>
            <w:tcW w:w="394"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Research and development expenses for the three and six months ended June 30, 2026 and 2025 consisted of the following costs by program as well as unallocated employee costs and overhead costs (specific program costs consist solely of external costs) (in thousands):</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626"/>
        <w:gridCol w:w="346"/>
        <w:gridCol w:w="211"/>
        <w:gridCol w:w="676"/>
        <w:gridCol w:w="346"/>
        <w:gridCol w:w="211"/>
        <w:gridCol w:w="571"/>
        <w:gridCol w:w="346"/>
        <w:gridCol w:w="211"/>
        <w:gridCol w:w="571"/>
        <w:gridCol w:w="346"/>
        <w:gridCol w:w="211"/>
        <w:gridCol w:w="676"/>
        <w:gridCol w:w="346"/>
        <w:gridCol w:w="211"/>
        <w:gridCol w:w="676"/>
        <w:gridCol w:w="346"/>
        <w:gridCol w:w="211"/>
        <w:gridCol w:w="676"/>
        <w:gridCol w:w="391"/>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1667510" cy="175260"/>
                      <wp:effectExtent l="0" t="0" r="0" b="0"/>
                      <wp:wrapNone/>
                      <wp:docPr id="304" name="Frame298"/>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19710" cy="175260"/>
                      <wp:effectExtent l="0" t="0" r="0" b="0"/>
                      <wp:wrapNone/>
                      <wp:docPr id="305" name="Frame29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133985" cy="175260"/>
                      <wp:effectExtent l="0" t="0" r="0" b="0"/>
                      <wp:wrapNone/>
                      <wp:docPr id="306" name="Frame3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429260" cy="175260"/>
                      <wp:effectExtent l="0" t="0" r="0" b="0"/>
                      <wp:wrapNone/>
                      <wp:docPr id="307" name="Frame301"/>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219710" cy="175260"/>
                      <wp:effectExtent l="0" t="0" r="0" b="0"/>
                      <wp:wrapNone/>
                      <wp:docPr id="308" name="Frame30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133985" cy="175260"/>
                      <wp:effectExtent l="0" t="0" r="0" b="0"/>
                      <wp:wrapNone/>
                      <wp:docPr id="309" name="Frame30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362585" cy="175260"/>
                      <wp:effectExtent l="0" t="0" r="0" b="0"/>
                      <wp:wrapNone/>
                      <wp:docPr id="310" name="Frame30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219710" cy="175260"/>
                      <wp:effectExtent l="0" t="0" r="0" b="0"/>
                      <wp:wrapNone/>
                      <wp:docPr id="311" name="Frame30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133985" cy="175260"/>
                      <wp:effectExtent l="0" t="0" r="0" b="0"/>
                      <wp:wrapNone/>
                      <wp:docPr id="312" name="Frame30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362585" cy="175260"/>
                      <wp:effectExtent l="0" t="0" r="0" b="0"/>
                      <wp:wrapNone/>
                      <wp:docPr id="313" name="Frame30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219710" cy="175260"/>
                      <wp:effectExtent l="0" t="0" r="0" b="0"/>
                      <wp:wrapNone/>
                      <wp:docPr id="314" name="Frame308"/>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133985" cy="175260"/>
                      <wp:effectExtent l="0" t="0" r="0" b="0"/>
                      <wp:wrapNone/>
                      <wp:docPr id="315" name="Frame30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429260" cy="175260"/>
                      <wp:effectExtent l="0" t="0" r="0" b="0"/>
                      <wp:wrapNone/>
                      <wp:docPr id="316" name="Frame310"/>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19710" cy="175260"/>
                      <wp:effectExtent l="0" t="0" r="0" b="0"/>
                      <wp:wrapNone/>
                      <wp:docPr id="317" name="Frame31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133985" cy="175260"/>
                      <wp:effectExtent l="0" t="0" r="0" b="0"/>
                      <wp:wrapNone/>
                      <wp:docPr id="318" name="Frame31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429260" cy="175260"/>
                      <wp:effectExtent l="0" t="0" r="0" b="0"/>
                      <wp:wrapNone/>
                      <wp:docPr id="319" name="Frame31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19710" cy="175260"/>
                      <wp:effectExtent l="0" t="0" r="0" b="0"/>
                      <wp:wrapNone/>
                      <wp:docPr id="320" name="Frame314"/>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133985" cy="175260"/>
                      <wp:effectExtent l="0" t="0" r="0" b="0"/>
                      <wp:wrapNone/>
                      <wp:docPr id="321" name="Frame31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429260" cy="175260"/>
                      <wp:effectExtent l="0" t="0" r="0" b="0"/>
                      <wp:wrapNone/>
                      <wp:docPr id="322" name="Frame31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248285" cy="175260"/>
                      <wp:effectExtent l="0" t="0" r="0" b="0"/>
                      <wp:wrapNone/>
                      <wp:docPr id="323" name="Frame317"/>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01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571" w:type="dxa"/>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20"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w:t>
            </w:r>
          </w:p>
        </w:tc>
        <w:tc>
          <w:tcPr>
            <w:tcW w:w="676" w:type="dxa"/>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01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vAlign w:val="center"/>
          </w:tcPr>
          <w:p>
            <w:pPr>
              <w:pStyle w:val="TableContents"/>
              <w:bidi w:val="0"/>
              <w:spacing w:lineRule="auto" w:line="285" w:before="0" w:after="0"/>
              <w:ind w:left="0" w:right="0" w:hanging="0"/>
              <w:jc w:val="center"/>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120"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vAlign w:val="center"/>
          </w:tcPr>
          <w:p>
            <w:pPr>
              <w:pStyle w:val="TableContents"/>
              <w:bidi w:val="0"/>
              <w:spacing w:lineRule="auto" w:line="285" w:before="0" w:after="0"/>
              <w:ind w:left="0" w:right="0" w:hanging="0"/>
              <w:jc w:val="center"/>
              <w:rPr/>
            </w:pPr>
            <w:r>
              <w:rPr/>
              <w:t>​</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78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46" w:type="dxa"/>
            <w:tcBorders/>
            <w:vAlign w:val="center"/>
          </w:tcPr>
          <w:p>
            <w:pPr>
              <w:pStyle w:val="TableContents"/>
              <w:bidi w:val="0"/>
              <w:spacing w:lineRule="auto" w:line="285" w:before="0" w:after="0"/>
              <w:ind w:left="0" w:right="0" w:hanging="0"/>
              <w:jc w:val="left"/>
              <w:rPr/>
            </w:pPr>
            <w:r>
              <w:rPr/>
              <w:t>​</w:t>
            </w:r>
          </w:p>
        </w:tc>
        <w:tc>
          <w:tcPr>
            <w:tcW w:w="88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6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Soquelitinib</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10,850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4,593</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6,257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17,546</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8,842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8,704</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Other programs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307</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57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462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422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pPr>
            <w:r>
              <w:rPr/>
              <w:t> </w:t>
            </w:r>
          </w:p>
        </w:tc>
        <w:tc>
          <w:tcPr>
            <w:tcW w:w="67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262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Unallocated employee and overhead costs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4,807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2,907</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9,131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6,062</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3,069</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262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15,964</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7,873</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8,091</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27,139</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15,326</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11,813</w:t>
            </w:r>
          </w:p>
        </w:tc>
        <w:tc>
          <w:tcPr>
            <w:tcW w:w="391" w:type="dxa"/>
            <w:tcBorders/>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the increase in soquelitinib costs of $6.3 million as compared to the three months ended June 30, 2025, primarily consisted of an increase of $3.2 million in clinical trial expenses, an increase of $2.4 million in other outside service costs and in increase of $0.7 million in drug manufacturing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increase in soquelitinib costs of $8.7 million as compared to the six months ended June 30, 2025, primarily consisted of an increase of $6.3 million in clinical trial expenses and an increase of $3.0 million in other outside service costs, which were partially offset by a decrease of $0.6 million in drug manufacturing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2026, the increases in other programs costs were negligible.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the increase in unallocated costs of $1.9 million as compared to the three months ended June 30, 2025, primarily consisted of an increase in personnel and related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increase in unallocated costs of $3.1 million as compared to the six months ended June 30, 2025, primarily consisted of an increase of $3.2 million in personnel and related costs, which were partially offset by a decrease of $0.1 million in facilities related cost.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General and Administrative Expense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the increase in general and administrative expenses of $0.9 million as compared to the three months ended June 30, 2025, primarily consisted of an increase in personnel and related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increase in general and administrative expenses of $2.2 million as compared to the six months ended June 30, 2025, primarily consisted of an increase of $1.9 million in personnel and related costs and an increase of $0.3 million in outside service costs.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Interest Income and Other Expense, net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the increase in interest income and other expense, net of $1.4 million as compared to the three months ended June 30, 2025, primarily consisted of an increase in interest income earned due to an increase in cash equivalents and marketable securities.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increase in interest income and other expense, net of $2.7 million as compared to the six months ended June 30, 2025, primarily consisted of an increase in interest income earned due to an increase in cash equivalents and marketable securities.</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Change in fair value of warrant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and six months ended June 30, 2026, the change in fair value of warrant liability was zero as all common warrants had been exercised as of June 30, 2025.</w:t>
      </w:r>
    </w:p>
    <w:p>
      <w:pPr>
        <w:pStyle w:val="TextBody"/>
        <w:bidi w:val="0"/>
        <w:spacing w:lineRule="auto" w:line="285" w:before="0" w:after="240"/>
        <w:ind w:left="0" w:right="0" w:hanging="0"/>
        <w:jc w:val="left"/>
        <w:rPr>
          <w:rFonts w:ascii="Times New Roman;Times;serif" w:hAnsi="Times New Roman;Times;serif"/>
          <w:i/>
          <w:sz w:val="20"/>
        </w:rPr>
      </w:pPr>
      <w:r>
        <w:rPr>
          <w:rFonts w:ascii="Times New Roman;Times;serif" w:hAnsi="Times New Roman;Times;serif"/>
          <w:i/>
          <w:sz w:val="20"/>
        </w:rPr>
        <w:t>Loss from equity method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three months ended June 30, 2026, the increase in loss from equity method investment of $0.3 million as compared to the three months ended June 30, 2025, primarily consisted of an increase in Angel Pharmaceuticals’ loss for the three months ended June 30, 2026.</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the six months ended June 30, 2026, the increase in loss from equity method investment of $0.4 million as compared to the six months ended June 30, 2025, primarily consisted of an increase in Angel Pharmaceuticals’ loss for the six months ended June 30,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we had cash, cash equivalents and marketable securities of $215.2 million, and an accumulated deficit of</w:t>
      </w:r>
      <w:r>
        <w:rPr>
          <w:rFonts w:ascii="Times New Roman;Times;serif" w:hAnsi="Times New Roman;Times;serif"/>
          <w:color w:val="FF0000"/>
          <w:sz w:val="20"/>
        </w:rPr>
        <w:t xml:space="preserve"> </w:t>
      </w:r>
      <w:r>
        <w:rPr>
          <w:rFonts w:ascii="Times New Roman;Times;serif" w:hAnsi="Times New Roman;Times;serif"/>
          <w:sz w:val="20"/>
        </w:rPr>
        <w:t>$443.9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and through June 30, 2026, we have funded our operations primarily through the sale and issuance of preferred and common stock, including through our IPO in March 2016, in which we raised net proceeds of approximately $70.6 million, a follow-on offering of our common stock in March 2018, in which we raised net proceeds of approximately $64.9 million, a follow on offering of our common stock in February 2021, in which we raised net proceeds of approximately $32.0 million, and a registered direct offering in May 2024, in which we sold shares of our common stock, pre-funded warrants and common stock warrants for net proceeds of approximately $30.3 million and proceeds of $54.3 million from the exercise of common stock warrants. On January 23, 2026, we completed a follow-on offering of common stock, which resulted in aggregate net proceeds of approximately $189.4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connection with the January 2026 follow-on offering, we suspended the at-the-market offering with respect to the 2024 Sales Agreement and, on March 13, 2026, entered into the Amended Sales Agreement, with Jefferies, which amends and restates the 2024 Sales Agreement to increase the maximum aggregate offering price of shares of our common stock from $100.0 million to $200.0 million.</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we did not sell any shares of common stock under our at-the-market offering program. As of June 30, 2026, $200.0 million remained available for sale under the Amended Sales Agreement.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Funding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Since our inception, we have incurred significant losses and negative cash flows from operations. We have an accumulated deficit of $443.9 million through June 30, 2026. We do not expect positive cash flows from operations in the foreseeable future, if ever. Historically, we have incurred operating losses as a result of ongoing efforts to develop our product candidates, including conducting ongoing research and development, clinical and preclinical studies and providing general and administrative support for these operations. We do not have any products approved for sale, and we do not expect to generate any meaningful revenue unless and until we obtain regulatory approval of and commercialize any of our current and future product candidates and/or enter into additional significant collaboration agreements with third parties, and we do not know when, or if, either will occur. We expect to continue to incur net operating losses for at least the next several years and we expect the losses to increase as we advance soquelitinib, as well as any other product candidates, through clinical development, seek regulatory approval, prepare for and, if approved, proceed to commercialization and continue our research and development efforts. We are subject to all the risks typically related to the development of new product candidates, and we may encounter unforeseen expenses, difficulties, complications, delays and other unknown factors that may adversely affect our business. We do not yet have a sales organization or commercial infrastructure and, accordingly, we will need to incur significant expenses to develop a sales organization and commercial infrastructure in advance of generating any commercial product sales. Moreover, we incur substantial costs associated with operating as a public company. We anticipate that we will need substantial additional funding in connection with our continuing operations.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Until we can generate a sufficient amount of revenue from the commercialization of our product candidates or from additional significant collaboration or license agreements with third parties, if ever, we expect to finance our future cash needs through private and public equity offerings and potential future collaboration, license and development agreements. Adequate funding may not be available to us on acceptable terms, or at all. If we are unable to raise additional capital in sufficient amounts or on terms acceptable to us, we will be required to significantly reduce our operating expenses and may have to significantly delay, scale back or discontinue the development of one or more of our current or future product candidates. If we raise additional funds by issuing equity or convertible debt securities, it could result in dilution to our existing stockholders and increased fixed payment obligations. In addition, as a condition to providing additional funds to us, future investors may demand, and may be granted, rights superior to those of existing stockholders. If we incur indebtedness, we could become subject to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we may have to relinquish valuable rights to our product candidates or grant licenses on terms that are not favorable to us. Any of the foregoing could significantly harm our business, financial condition and prospects.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to incur substantial additional losses in the future as we conduct our planned research and development activities. We believe that our existing cash, cash equivalents and marketable securities will be sufficient to fund our planned operating and capital needs into the second quarter of 2028. Our forecast of the period of time through which our financial resources will be adequate to support our operations is a forward-looking statement that involves risks and uncertainties, and actual results could vary materially based on a number of factors.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based our projections of operating capital requirements on assumptions that may prove to be incorrect and we may use all our available capital resources sooner than we expect. Because of the numerous risks and uncertainties associated with research, development and commercialization of product candidates, we are unable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estimate the exact amount of our operating capital requirements. Our future capital requirements depend on many factors,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progress, timing, costs and results of clinical trials for soquelitinib, including the potentially registrational clinical trial for soquelitinib, and to a lesser extent, the timing, costs and results of the clinical trials for ciforadenant and mupadolimab;</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progress, costs and results of preclinical and clinical development activities for our other product candidates;</w:t>
            </w:r>
          </w:p>
        </w:tc>
      </w:tr>
    </w:tbl>
    <w:p>
      <w:pPr>
        <w:pStyle w:val="TextBody"/>
        <w:pBdr/>
        <w:bidi w:val="0"/>
        <w:spacing w:lineRule="auto" w:line="285" w:before="0" w:after="0"/>
        <w:ind w:left="720" w:right="0" w:hanging="360"/>
        <w:jc w:val="left"/>
        <w:rPr/>
      </w:pPr>
      <w:r>
        <w:rPr/>
        <w:t>​</w:t>
      </w:r>
    </w:p>
    <w:tbl>
      <w:tblPr>
        <w:tblW w:w="6936" w:type="dxa"/>
        <w:jc w:val="left"/>
        <w:tblInd w:w="0" w:type="dxa"/>
        <w:tblLayout w:type="fixed"/>
        <w:tblCellMar>
          <w:top w:w="28" w:type="dxa"/>
          <w:left w:w="28" w:type="dxa"/>
          <w:bottom w:w="28" w:type="dxa"/>
          <w:right w:w="28" w:type="dxa"/>
        </w:tblCellMar>
      </w:tblPr>
      <w:tblGrid>
        <w:gridCol w:w="124"/>
        <w:gridCol w:w="256"/>
        <w:gridCol w:w="6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and scope of preclinical and clinical programs we decide to pursue;</w:t>
            </w:r>
          </w:p>
        </w:tc>
      </w:tr>
    </w:tbl>
    <w:p>
      <w:pPr>
        <w:pStyle w:val="TextBody"/>
        <w:pBdr/>
        <w:bidi w:val="0"/>
        <w:spacing w:lineRule="auto" w:line="285" w:before="0" w:after="0"/>
        <w:ind w:left="720" w:right="0" w:hanging="360"/>
        <w:jc w:val="left"/>
        <w:rPr/>
      </w:pPr>
      <w:r>
        <w:rPr/>
        <w:t>​</w:t>
      </w:r>
    </w:p>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involved in prosecuting, maintaining and enforcing patent and other intellectual property rights;</w:t>
            </w:r>
          </w:p>
        </w:tc>
      </w:tr>
    </w:tbl>
    <w:p>
      <w:pPr>
        <w:pStyle w:val="TextBody"/>
        <w:pBdr/>
        <w:bidi w:val="0"/>
        <w:spacing w:lineRule="auto" w:line="285" w:before="0" w:after="0"/>
        <w:ind w:left="720" w:right="0" w:hanging="360"/>
        <w:jc w:val="left"/>
        <w:rPr/>
      </w:pPr>
      <w:r>
        <w:rPr/>
        <w:t>​</w:t>
      </w:r>
    </w:p>
    <w:tbl>
      <w:tblPr>
        <w:tblW w:w="4086" w:type="dxa"/>
        <w:jc w:val="left"/>
        <w:tblInd w:w="0" w:type="dxa"/>
        <w:tblLayout w:type="fixed"/>
        <w:tblCellMar>
          <w:top w:w="28" w:type="dxa"/>
          <w:left w:w="28" w:type="dxa"/>
          <w:bottom w:w="28" w:type="dxa"/>
          <w:right w:w="28" w:type="dxa"/>
        </w:tblCellMar>
      </w:tblPr>
      <w:tblGrid>
        <w:gridCol w:w="124"/>
        <w:gridCol w:w="256"/>
        <w:gridCol w:w="3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and timing of regulatory approvals;</w:t>
            </w:r>
          </w:p>
        </w:tc>
      </w:tr>
    </w:tbl>
    <w:p>
      <w:pPr>
        <w:pStyle w:val="TextBody"/>
        <w:pBdr/>
        <w:bidi w:val="0"/>
        <w:spacing w:lineRule="auto" w:line="285" w:before="0" w:after="0"/>
        <w:ind w:left="720" w:right="0" w:hanging="36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efforts to enhance operational systems and hire additional personnel, including personnel to support development of our product candidates and satisfy our obligations as a public company; and</w:t>
            </w:r>
          </w:p>
        </w:tc>
      </w:tr>
    </w:tbl>
    <w:p>
      <w:pPr>
        <w:pStyle w:val="TextBody"/>
        <w:bidi w:val="0"/>
        <w:spacing w:lineRule="auto" w:line="285" w:before="0" w:after="0"/>
        <w:ind w:left="0" w:right="0" w:hanging="0"/>
        <w:jc w:val="left"/>
        <w:rPr/>
      </w:pPr>
      <w:r>
        <w:rPr/>
        <w:t>​</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described in the section of this Quarterly Report on Form 10-Q entitled “Risk Factors.”</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Summary of Statement of Cash Flows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summarizes our cash flows for the periods indicated (in thousands):</w:t>
      </w:r>
    </w:p>
    <w:p>
      <w:pPr>
        <w:pStyle w:val="TextBody"/>
        <w:bidi w:val="0"/>
        <w:spacing w:lineRule="auto" w:line="285" w:before="0" w:after="0"/>
        <w:ind w:left="0" w:right="0" w:hanging="0"/>
        <w:jc w:val="left"/>
        <w:rPr/>
      </w:pPr>
      <w:r>
        <w:rPr/>
        <w:t>​</w:t>
      </w:r>
    </w:p>
    <w:tbl>
      <w:tblPr>
        <w:tblW w:w="6668" w:type="dxa"/>
        <w:jc w:val="left"/>
        <w:tblInd w:w="0" w:type="dxa"/>
        <w:tblLayout w:type="fixed"/>
        <w:tblCellMar>
          <w:top w:w="0" w:type="dxa"/>
          <w:left w:w="0" w:type="dxa"/>
          <w:bottom w:w="0" w:type="dxa"/>
          <w:right w:w="0" w:type="dxa"/>
        </w:tblCellMar>
      </w:tblPr>
      <w:tblGrid>
        <w:gridCol w:w="3466"/>
        <w:gridCol w:w="346"/>
        <w:gridCol w:w="211"/>
        <w:gridCol w:w="901"/>
        <w:gridCol w:w="346"/>
        <w:gridCol w:w="211"/>
        <w:gridCol w:w="796"/>
        <w:gridCol w:w="391"/>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2200910" cy="175260"/>
                      <wp:effectExtent l="0" t="0" r="0" b="0"/>
                      <wp:wrapNone/>
                      <wp:docPr id="324" name="Frame318"/>
                      <a:graphic xmlns:a="http://schemas.openxmlformats.org/drawingml/2006/main">
                        <a:graphicData uri="http://schemas.microsoft.com/office/word/2010/wordprocessingShape">
                          <wps:wsp>
                            <wps:cNvSpPr txBox="1"/>
                            <wps:spPr>
                              <a:xfrm>
                                <a:off x="0" y="0"/>
                                <a:ext cx="22009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19710" cy="175260"/>
                      <wp:effectExtent l="0" t="0" r="0" b="0"/>
                      <wp:wrapNone/>
                      <wp:docPr id="325" name="Frame319"/>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133985" cy="175260"/>
                      <wp:effectExtent l="0" t="0" r="0" b="0"/>
                      <wp:wrapNone/>
                      <wp:docPr id="326" name="Frame32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572135" cy="175260"/>
                      <wp:effectExtent l="0" t="0" r="0" b="0"/>
                      <wp:wrapNone/>
                      <wp:docPr id="327" name="Frame321"/>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219710" cy="175260"/>
                      <wp:effectExtent l="0" t="0" r="0" b="0"/>
                      <wp:wrapNone/>
                      <wp:docPr id="328" name="Frame32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133985" cy="175260"/>
                      <wp:effectExtent l="0" t="0" r="0" b="0"/>
                      <wp:wrapNone/>
                      <wp:docPr id="329" name="Frame3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505460" cy="175260"/>
                      <wp:effectExtent l="0" t="0" r="0" b="0"/>
                      <wp:wrapNone/>
                      <wp:docPr id="330" name="Frame324"/>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248285" cy="175260"/>
                      <wp:effectExtent l="0" t="0" r="0" b="0"/>
                      <wp:wrapNone/>
                      <wp:docPr id="331" name="Frame325"/>
                      <a:graphic xmlns:a="http://schemas.openxmlformats.org/drawingml/2006/main">
                        <a:graphicData uri="http://schemas.microsoft.com/office/word/2010/wordprocessingShape">
                          <wps:wsp>
                            <wps:cNvSpPr txBox="1"/>
                            <wps:spPr>
                              <a:xfrm>
                                <a:off x="0" y="0"/>
                                <a:ext cx="248285"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r>
      <w:tr>
        <w:trPr/>
        <w:tc>
          <w:tcPr>
            <w:tcW w:w="3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2465" w:type="dxa"/>
            <w:gridSpan w:val="5"/>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  ​ ​ ​</w:t>
            </w:r>
          </w:p>
        </w:tc>
        <w:tc>
          <w:tcPr>
            <w:tcW w:w="2465"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91" w:type="dxa"/>
            <w:tcBorders/>
            <w:vAlign w:val="center"/>
          </w:tcPr>
          <w:p>
            <w:pPr>
              <w:pStyle w:val="TableContents"/>
              <w:bidi w:val="0"/>
              <w:spacing w:lineRule="auto" w:line="285" w:before="0" w:after="0"/>
              <w:ind w:left="0" w:right="0" w:hanging="0"/>
              <w:jc w:val="left"/>
              <w:rPr/>
            </w:pPr>
            <w:r>
              <w:rPr/>
              <w:t>  ​ ​ ​</w:t>
            </w:r>
          </w:p>
        </w:tc>
      </w:tr>
      <w:tr>
        <w:trPr/>
        <w:tc>
          <w:tcPr>
            <w:tcW w:w="346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lineRule="auto" w:line="285" w:before="0" w:after="0"/>
              <w:ind w:left="0" w:right="0" w:hanging="0"/>
              <w:jc w:val="left"/>
              <w:rPr/>
            </w:pPr>
            <w:r>
              <w:rPr/>
              <w:t>​</w:t>
            </w:r>
          </w:p>
        </w:tc>
        <w:tc>
          <w:tcPr>
            <w:tcW w:w="1112"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2026</w:t>
            </w:r>
          </w:p>
        </w:tc>
        <w:tc>
          <w:tcPr>
            <w:tcW w:w="346" w:type="dxa"/>
            <w:tcBorders/>
            <w:vAlign w:val="center"/>
          </w:tcPr>
          <w:p>
            <w:pPr>
              <w:pStyle w:val="TableContents"/>
              <w:bidi w:val="0"/>
              <w:spacing w:lineRule="auto" w:line="285" w:before="0" w:after="0"/>
              <w:ind w:left="0" w:right="0" w:hanging="0"/>
              <w:jc w:val="left"/>
              <w:rPr/>
            </w:pPr>
            <w:r>
              <w:rPr/>
              <w:t>  ​ ​ ​</w:t>
            </w:r>
          </w:p>
        </w:tc>
        <w:tc>
          <w:tcPr>
            <w:tcW w:w="1007" w:type="dxa"/>
            <w:gridSpan w:val="2"/>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2025</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cash provided by (used in):</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901" w:type="dxa"/>
            <w:tcBorders/>
            <w:shd w:fill="CCEEFF" w:val="clear"/>
            <w:vAlign w:val="center"/>
          </w:tcPr>
          <w:p>
            <w:pPr>
              <w:pStyle w:val="TableContents"/>
              <w:bidi w:val="0"/>
              <w:spacing w:lineRule="auto" w:line="285" w:before="0" w:after="0"/>
              <w:ind w:left="0" w:right="0" w:hanging="0"/>
              <w:jc w:val="right"/>
              <w:rPr/>
            </w:pPr>
            <w:r>
              <w:rPr/>
              <w:t>  ​</w:t>
            </w:r>
          </w:p>
        </w:tc>
        <w:tc>
          <w:tcPr>
            <w:tcW w:w="346" w:type="dxa"/>
            <w:tcBorders/>
            <w:shd w:fill="CCEEFF" w:val="clear"/>
            <w:vAlign w:val="center"/>
          </w:tcPr>
          <w:p>
            <w:pPr>
              <w:pStyle w:val="TableContents"/>
              <w:bidi w:val="0"/>
              <w:spacing w:lineRule="auto" w:line="285" w:before="0" w:after="0"/>
              <w:ind w:left="0" w:right="0" w:hanging="0"/>
              <w:jc w:val="left"/>
              <w:rPr/>
            </w:pPr>
            <w:r>
              <w:rPr/>
              <w:t> </w:t>
            </w:r>
          </w:p>
        </w:tc>
        <w:tc>
          <w:tcPr>
            <w:tcW w:w="211" w:type="dxa"/>
            <w:tcBorders/>
            <w:shd w:fill="CCEEFF" w:val="clear"/>
            <w:vAlign w:val="center"/>
          </w:tcPr>
          <w:p>
            <w:pPr>
              <w:pStyle w:val="TableContents"/>
              <w:bidi w:val="0"/>
              <w:spacing w:lineRule="auto" w:line="285" w:before="0" w:after="0"/>
              <w:ind w:left="0" w:right="0" w:hanging="0"/>
              <w:jc w:val="left"/>
              <w:rPr/>
            </w:pPr>
            <w:r>
              <w:rPr/>
              <w:t>​</w:t>
            </w:r>
          </w:p>
        </w:tc>
        <w:tc>
          <w:tcPr>
            <w:tcW w:w="796" w:type="dxa"/>
            <w:tcBorders/>
            <w:shd w:fill="CCEEFF" w:val="clear"/>
            <w:vAlign w:val="center"/>
          </w:tcPr>
          <w:p>
            <w:pPr>
              <w:pStyle w:val="TableContents"/>
              <w:bidi w:val="0"/>
              <w:spacing w:lineRule="auto" w:line="285" w:before="0" w:after="0"/>
              <w:ind w:left="0" w:right="0" w:hanging="0"/>
              <w:jc w:val="right"/>
              <w:rPr/>
            </w:pPr>
            <w:r>
              <w:rPr/>
              <w:t>  ​</w:t>
            </w:r>
          </w:p>
        </w:tc>
        <w:tc>
          <w:tcPr>
            <w:tcW w:w="391" w:type="dxa"/>
            <w:tcBorders/>
            <w:shd w:fill="CCEEFF" w:val="clear"/>
            <w:vAlign w:val="center"/>
          </w:tcPr>
          <w:p>
            <w:pPr>
              <w:pStyle w:val="TableContents"/>
              <w:bidi w:val="0"/>
              <w:spacing w:lineRule="auto" w:line="285" w:before="0" w:after="0"/>
              <w:ind w:left="0" w:right="0" w:hanging="0"/>
              <w:jc w:val="left"/>
              <w:rPr/>
            </w:pPr>
            <w:r>
              <w:rPr/>
              <w:t> </w:t>
            </w:r>
          </w:p>
        </w:tc>
      </w:tr>
      <w:tr>
        <w:trPr/>
        <w:tc>
          <w:tcPr>
            <w:tcW w:w="34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Operating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(25,772)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(14,040)</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901"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(150,811)</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shd w:fill="CCEEFF" w:val="clear"/>
            <w:vAlign w:val="center"/>
          </w:tcPr>
          <w:p>
            <w:pPr>
              <w:pStyle w:val="TableContents"/>
              <w:bidi w:val="0"/>
              <w:spacing w:lineRule="auto" w:line="285" w:before="0" w:after="0"/>
              <w:ind w:left="0" w:right="0" w:hanging="0"/>
              <w:jc w:val="left"/>
              <w:rPr/>
            </w:pPr>
            <w:r>
              <w:rPr/>
              <w:t> </w:t>
            </w:r>
          </w:p>
        </w:tc>
        <w:tc>
          <w:tcPr>
            <w:tcW w:w="796" w:type="dxa"/>
            <w:tcBorders/>
            <w:shd w:fill="CCEEFF" w:val="cle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(16,058)</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r>
        <w:trPr/>
        <w:tc>
          <w:tcPr>
            <w:tcW w:w="346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Financing activities</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190,912</w:t>
            </w:r>
          </w:p>
        </w:tc>
        <w:tc>
          <w:tcPr>
            <w:tcW w:w="346" w:type="dxa"/>
            <w:tcBorders/>
            <w:vAlign w:val="center"/>
          </w:tcPr>
          <w:p>
            <w:pPr>
              <w:pStyle w:val="TableContents"/>
              <w:bidi w:val="0"/>
              <w:spacing w:lineRule="auto" w:line="285"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36,049</w:t>
            </w:r>
          </w:p>
        </w:tc>
        <w:tc>
          <w:tcPr>
            <w:tcW w:w="391" w:type="dxa"/>
            <w:tcBorders/>
            <w:vAlign w:val="center"/>
          </w:tcPr>
          <w:p>
            <w:pPr>
              <w:pStyle w:val="TableContents"/>
              <w:bidi w:val="0"/>
              <w:spacing w:lineRule="auto" w:line="285" w:before="0" w:after="0"/>
              <w:ind w:left="0" w:right="0" w:hanging="0"/>
              <w:jc w:val="left"/>
              <w:rPr/>
            </w:pPr>
            <w:r>
              <w:rPr/>
              <w:t>​</w:t>
            </w:r>
          </w:p>
        </w:tc>
      </w:tr>
      <w:tr>
        <w:trPr/>
        <w:tc>
          <w:tcPr>
            <w:tcW w:w="3466" w:type="dxa"/>
            <w:tcBorders/>
            <w:shd w:fill="CCEEFF" w:val="cle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Net increase in cash and cash equivalents</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14,329</w:t>
            </w:r>
          </w:p>
        </w:tc>
        <w:tc>
          <w:tcPr>
            <w:tcW w:w="346" w:type="dxa"/>
            <w:tcBorders/>
            <w:shd w:fill="CCEEFF" w:val="clear"/>
            <w:vAlign w:val="center"/>
          </w:tcPr>
          <w:p>
            <w:pPr>
              <w:pStyle w:val="TableContents"/>
              <w:bidi w:val="0"/>
              <w:spacing w:lineRule="auto" w:line="285"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lineRule="auto" w:line="285" w:before="0" w:after="0"/>
              <w:ind w:left="0" w:right="0" w:hanging="0"/>
              <w:jc w:val="right"/>
              <w:rPr>
                <w:rFonts w:ascii="Times New Roman;Times;serif" w:hAnsi="Times New Roman;Times;serif"/>
                <w:sz w:val="20"/>
              </w:rPr>
            </w:pPr>
            <w:r>
              <w:rPr>
                <w:rFonts w:ascii="Times New Roman;Times;serif" w:hAnsi="Times New Roman;Times;serif"/>
                <w:sz w:val="20"/>
              </w:rPr>
              <w:t>5,951</w:t>
            </w:r>
          </w:p>
        </w:tc>
        <w:tc>
          <w:tcPr>
            <w:tcW w:w="391" w:type="dxa"/>
            <w:tcBorders/>
            <w:shd w:fill="CCEEFF" w:val="clear"/>
            <w:vAlign w:val="center"/>
          </w:tcPr>
          <w:p>
            <w:pPr>
              <w:pStyle w:val="TableContents"/>
              <w:bidi w:val="0"/>
              <w:spacing w:lineRule="auto" w:line="285" w:before="0" w:after="0"/>
              <w:ind w:left="0" w:right="0" w:hanging="0"/>
              <w:jc w:val="left"/>
              <w:rPr/>
            </w:pPr>
            <w:r>
              <w:rPr/>
              <w: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Operating Activities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Cash used in operating activities during the six months ended June 30, 2026 was $25.8 million, which primarily consisted of net loss of $31.7 million, adjusted by net non-cash transactions of $6.8 million, that primarily consisted of $5.3 million of stock-based compensation expense and $1.3 million of loss from equity method investment; an increase of $4.3 million in prepaid and other current assets; an increase of $0.9 million in other assets; an increase of $1.6 million in accounts payable; and an increase of $2.7 million in accrued and other current liabilities.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Cash used in operating activities during the six months ended June 30, 2025 was $14.0 million, which primarily consisted of net income of $7.2 million, adjusted by net non-cash transactions of $24.3 million, that primarily consisted of $2.5 million of stock-based compensation expense, $0.9 million of loss from equity method investment and a decrease of $27.1 million in the fair value of warrant liability; a decrease of $1.1 million in prepaid and other current assets; an increase of $0.6 million in accounts payable; an increase of $1.3 million in accrued and other current liabilities; and a decrease of $0.1 million in operating lease right-of-use asset.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Investing Activities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During the six months ended June 30, 2026, net cash flows used in investing activities was $150.8 million, which primarily consisted of purchases of marketable securities of $209.5 million, purchases of property and equipment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of $0.7 million and an investment in Angel Pharmaceuticals of $5.0 million, which were partially offset by maturities of marketable securities of $64.3 million.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net cash flows used in investing activities was $16.1 million, which primarily consisted of purchases of marketable securities of $47.2 million and purchases of property and equipment of $0.2 million, which were partially offset by maturities of marketable securities of $31.3 million.</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Cash Flows from Financing Activities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2026, cash provided by financing activities was $190.9 million, which primarily consisted of net proceeds of $189.4 million from the January 2026 follow-on public offering and proceeds of $1.5 million from the exercise of stock options.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six months ended June 30, 2025, cash provided by financing activities was $36.0 million, which primarily consisted of proceeds of $35.7 million from the exercise of common warrants and proceeds of $0.3 million from the exercise of stock options.</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material changes outside the ordinary course of our business to our contractual obligations during the six months ended June 30,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Estimates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have been no changes to our critical accounting estimates during the six months ended June 30, 2026, as compared to those disclosed in our Annual Report on Form 10-K filed with the SEC on March 12, 2026.</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Smaller Reporting Company and Non-Accelerated Filer Status</w:t>
      </w:r>
    </w:p>
    <w:p>
      <w:pPr>
        <w:pStyle w:val="TextBody"/>
        <w:bidi w:val="0"/>
        <w:spacing w:lineRule="auto" w:line="285" w:before="0" w:after="0"/>
        <w:ind w:left="0" w:right="0" w:hanging="0"/>
        <w:jc w:val="left"/>
        <w:rPr/>
      </w:pPr>
      <w:r>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value of our common stock held by our non-affiliates as of June 30, 2026, we will no longer be a “smaller reporting company.” Accordingly, we will cease to be eligible to use the requirements for a smaller reporting company beginning with our Quarterly Report on Form 10-Q for the quarter ended March 31, 2027, and will thus be subject to additional disclosure and compliance requirements. Because we remain eligible to use the requirements for smaller reporting companies through December 31, 2026, we will continue to be a non-accelerated filer as of December 31, 2026 and will remain a “non-accelerated filer” until December 31, 2027.</w:t>
      </w:r>
    </w:p>
    <w:p>
      <w:pPr>
        <w:pStyle w:val="TextBody"/>
        <w:bidi w:val="0"/>
        <w:spacing w:lineRule="auto" w:line="285" w:before="0" w:after="0"/>
        <w:ind w:left="0" w:right="0" w:hanging="0"/>
        <w:jc w:val="left"/>
        <w:rPr>
          <w:rFonts w:ascii="Times New Roman;Times;serif" w:hAnsi="Times New Roman;Times;serif"/>
          <w:b/>
          <w:sz w:val="20"/>
        </w:rPr>
      </w:pPr>
      <w:bookmarkStart w:id="1213" w:name="Item3QuantitativeandQualitativeDisclosur"/>
      <w:bookmarkStart w:id="1214" w:name="_971f8bee_c872_4fd1_b5ec_7f22965df093"/>
      <w:bookmarkEnd w:id="1213"/>
      <w:bookmarkEnd w:id="1214"/>
      <w:r>
        <w:rPr>
          <w:rFonts w:ascii="Times New Roman;Times;serif" w:hAnsi="Times New Roman;Times;serif"/>
          <w:b/>
          <w:sz w:val="20"/>
        </w:rPr>
        <w:t>Item 3.    Quantitative and Qualitative Disclosures about Market Risk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exposed to market risk related to changes in interest rates. We had cash and cash equivalents and marketable securities of $215.2 million as of June 30, 2026 and cash, cash equivalents and marketable securities of $56.8 million as of December 31, 2025, which consisted of bank deposits, money market investments, U.S. Treasury securities and U.S. government agency securities. Such interest-earning instruments carry a degree of interest rate risk; however, historical fluctuations of interest income have not been significant. Due to the short-term duration of our investment portfolio and the low risk profile of our investments, an immediate 10% increase in interest rates would not have a material effect on the fair market value of our portfolio.</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215" w:name="Item4ControlsandProcedures_996727"/>
      <w:bookmarkStart w:id="1216" w:name="_0e6a1445_d1c2_407e_a34b_438e7b934cb3"/>
      <w:bookmarkEnd w:id="1215"/>
      <w:bookmarkEnd w:id="1216"/>
      <w:r>
        <w:rPr>
          <w:rFonts w:ascii="Times New Roman;Times;serif" w:hAnsi="Times New Roman;Times;serif"/>
          <w:b/>
          <w:sz w:val="20"/>
        </w:rPr>
        <w:t>Item 4.    Controls and Procedures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(a)          Evaluation of Disclosure Controls and Procedures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term “disclosure controls and procedures,” as defined in Rules 13a-15(e) and 15d-15(e) under the Securities Exchange Act of 1934, as amended (the “Exchange Act”), refers to controls and procedures that are designed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Due to the inherent limitations of control systems, including the possibility of human error and the circumvention or overriding of the controls and procedures, not all misstatements may be prevented or detected. Our disclosure controls and procedures are designed to provide reasonable assurance of achieving their control objectives.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required by Rule 13a-15(b) under the Exchange Act, our management, with the participation of our Chief Executive Officer and Chief Financial Officer, has evaluated the effectiveness of our disclosure controls and procedures as of June 30, 2026 the end of the period covered by this Quarterly Report on Form 10-Q. Based upon such evaluation, our Chief Executive Officer and Chief Financial Officer have concluded that our disclosure controls and procedures were effective at the reasonable assurance level as of such date.</w:t>
      </w:r>
    </w:p>
    <w:p>
      <w:pPr>
        <w:pStyle w:val="TextBody"/>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(b)          Changes in Internal Controls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17" w:name="PARTIIOTHERINFORMATION_177066"/>
      <w:bookmarkStart w:id="1218" w:name="_7def46af_1e02_4ed3_b7ef_9df8e8a760c7"/>
      <w:bookmarkEnd w:id="1217"/>
      <w:bookmarkEnd w:id="1218"/>
      <w:r>
        <w:rPr>
          <w:rFonts w:ascii="Times New Roman;Times;serif" w:hAnsi="Times New Roman;Times;serif"/>
          <w:b/>
          <w:sz w:val="20"/>
        </w:rPr>
        <w:t>PART II — 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219" w:name="Item1LegalProceedings_213471"/>
      <w:bookmarkEnd w:id="1219"/>
      <w:r>
        <w:rPr>
          <w:rFonts w:ascii="Times New Roman;Times;serif" w:hAnsi="Times New Roman;Times;serif"/>
          <w:b/>
          <w:sz w:val="20"/>
        </w:rPr>
        <w:t>Item 1 —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We are not currently a party to any material litigation or legal proceedings.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1220" w:name="RiskFactors"/>
      <w:bookmarkStart w:id="1221" w:name="_91afad48_391a_4a6c_8e38_f64cf75776de"/>
      <w:bookmarkEnd w:id="1220"/>
      <w:bookmarkEnd w:id="1221"/>
      <w:r>
        <w:rPr>
          <w:rFonts w:ascii="Times New Roman;Times;serif" w:hAnsi="Times New Roman;Times;serif"/>
          <w:b/>
          <w:sz w:val="20"/>
        </w:rPr>
        <w:t>Item 1A — Risk Factors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i/>
          <w:sz w:val="20"/>
        </w:rPr>
      </w:pPr>
      <w:r>
        <w:rPr>
          <w:rFonts w:ascii="Times New Roman;Times;serif" w:hAnsi="Times New Roman;Times;serif"/>
          <w:i/>
          <w:sz w:val="20"/>
        </w:rPr>
        <w:t>Our business involves significant risks, some of which are described below. You should consider carefully the risks and uncertainties described below, together with all of the other information in this Quarterly Report on Form 10-Q, including our unaudited condensed consolidated financial statements and related notes included elsewhere in this Quarterly Report on Form 10-Q and “Management’s Discussion and Analysis of Financial Condition and Results of Operations.” If any of the following risks are realized, our business, financial condition, results of operations and prospects could be materially and adversely affected. Additional risks and uncertainties not presently known to us or that we currently deem immaterial may also impair our business operations.</w:t>
      </w:r>
    </w:p>
    <w:p>
      <w:pPr>
        <w:pStyle w:val="TextBody"/>
        <w:bidi w:val="0"/>
        <w:spacing w:lineRule="auto" w:line="285" w:before="0" w:after="0"/>
        <w:ind w:left="0" w:right="0" w:hanging="0"/>
        <w:jc w:val="left"/>
        <w:rPr/>
      </w:pPr>
      <w:r>
        <w:rPr/>
        <w:t>​</w:t>
      </w:r>
    </w:p>
    <w:p>
      <w:pPr>
        <w:pStyle w:val="TextBody"/>
        <w:bidi w:val="0"/>
        <w:spacing w:lineRule="auto" w:line="304" w:before="0" w:after="160"/>
        <w:ind w:left="0" w:right="0" w:hanging="0"/>
        <w:jc w:val="left"/>
        <w:rPr>
          <w:rFonts w:ascii="Times New Roman;Times;serif" w:hAnsi="Times New Roman;Times;serif"/>
          <w:b/>
          <w:sz w:val="20"/>
        </w:rPr>
      </w:pPr>
      <w:r>
        <w:rPr>
          <w:rFonts w:ascii="Times New Roman;Times;serif" w:hAnsi="Times New Roman;Times;serif"/>
          <w:b/>
          <w:sz w:val="20"/>
        </w:rPr>
        <w:t>Risk Factor Summary</w:t>
      </w:r>
    </w:p>
    <w:p>
      <w:pPr>
        <w:pStyle w:val="TextBody"/>
        <w:bidi w:val="0"/>
        <w:spacing w:lineRule="auto" w:line="285" w:before="240" w:after="0"/>
        <w:ind w:left="0" w:right="0" w:firstLine="720"/>
        <w:jc w:val="both"/>
        <w:rPr>
          <w:rFonts w:ascii="Times New Roman;Times;serif" w:hAnsi="Times New Roman;Times;serif"/>
          <w:sz w:val="20"/>
        </w:rPr>
      </w:pPr>
      <w:r>
        <w:rPr>
          <w:rFonts w:ascii="Times New Roman;Times;serif" w:hAnsi="Times New Roman;Times;serif"/>
          <w:sz w:val="20"/>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Quarterly Report on Form 10-Q and our other filings with the Securities and Exchange Commission (“SEC”) before making investment decisions regarding our common stock.</w:t>
      </w:r>
    </w:p>
    <w:p>
      <w:pPr>
        <w:pStyle w:val="TextBody"/>
        <w:bidi w:val="0"/>
        <w:spacing w:lineRule="auto" w:line="285" w:before="0" w:after="28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significant operating losses since our inception and expect to incur significant losses for the foreseeable future. We may never generate any revenue or become profitable or, if we achieve profitability, we may not be able to sustain 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termination or suspension of, or delays in the commencement or completion of, our planned clinical trials could result in increased costs to us, delay or limit our ability to generate revenue and adversely affect our commercial prospects.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 candidates are subject to extensive regulation, compliance with which is costly and time consuming, and such regulation may cause unanticipated delays or prevent the receipt of the required approvals to commercialize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conducting and plan to conduct clinical trials for soquelitinib, ciforadenant and mupadolimab, and we and Angel Pharmaceuticals may in the future, conduct additional clinical trials of product candidates at sites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outside the United States, and the Food and Drug Administration (“FDA”) may not accept data from trials conducted in foreign locations.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encounter difficulties enrolling subjects in our clinical trials, our clinical development activities could be delayed or otherwise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successful in our efforts to identify or discover additional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third parties to conduct some or all aspects of our manufacturing, research and preclinical and clinical testing, and these third parties may not perform satisfactorily.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commercialize our product candidates or if we experience significant delays in obtaining regulatory approval for, or commercializing, any or all of our product candidates, our business will be materially and adversely affected.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do not achieve our projected development goals in the time frames we announce and expect, the commercialization of our products may be delayed and, as a result, our stock price may decline.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tc>
      </w:tr>
    </w:tbl>
    <w:tbl>
      <w:tblPr>
        <w:tblW w:w="7086" w:type="dxa"/>
        <w:jc w:val="left"/>
        <w:tblInd w:w="0" w:type="dxa"/>
        <w:tblLayout w:type="fixed"/>
        <w:tblCellMar>
          <w:top w:w="28" w:type="dxa"/>
          <w:left w:w="28" w:type="dxa"/>
          <w:bottom w:w="28" w:type="dxa"/>
          <w:right w:w="28" w:type="dxa"/>
        </w:tblCellMar>
      </w:tblPr>
      <w:tblGrid>
        <w:gridCol w:w="124"/>
        <w:gridCol w:w="256"/>
        <w:gridCol w:w="6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active, liquid and orderly market for our common stock may not be sustained.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 of the shares of our common stock could be highly volatile, and investors in our common stock could incur substantial losses.</w:t>
            </w:r>
          </w:p>
        </w:tc>
      </w:tr>
    </w:tbl>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Limited Operating History, Financial Condition and Need for Additional Capital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incurred significant operating losses since our inception and expect to incur significant losses for the foreseeable future. We may never generate any revenue or become profitable or, if we achieve profitability, we may not be able to sustain it.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are a clinical-stage biopharmaceutical company that has never generated revenue from the sale of our product candidates. Biopharmaceutical product development is a highly speculative undertaking and involves a substantial degree of risk. To date, we have focused primarily on developing our lead product candidates, soquelitinib,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ciforadenant and mupadolimab, and researching additional product candidates. We have incurred significant operating losses since we were founded in January 2014 and have not yet generated any revenue from sales. If our product candidates are not approved, we may never generate any revenue. We incurred a net loss of $15.3 million, $62.3 million and $27.0 million for the years ended December 31, 2025, 2024 and 2023, respectively. During the six months ended June 30, 2026 and 2025, we recorded a net loss of $31.7 million and net income of $7.2 million, respectively. We had an accumulated deficit of $443.9 million as of June 30, 2026. We expect to continue to incur losses for the foreseeable future, and we anticipate these losses will increase as we continue our development of, seek regulatory approval for and, if approved, begin to commercialize soquelitinib, and as we develop other product candidates. Even if we achieve profitability in the future, we may not be able to sustain it in subsequent periods. Our prior losses, combined with expected future losses, have had and will continue to have an adverse effect on our stockholders’ equity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will require substantial additional financing to achieve our goals, and a failure to obtain this necessary capital when needed on acceptable terms, or at all, could force us to delay, limit, reduce or terminate our product development, other operations or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our inception, the majority of our efforts have been focused on the research and development of soquelitinib, ciforadenant and mupadolimab. We believe that we will continue to expend substantial resources for the foreseeable future as we continue clinical development of, seek regulatory approval for and, if approved, prepare for the commercialization of soquelitinib, as well as product candidates under our other development programs. These expenditures will include costs associated with research and development, conducting preclinical studies and clinical trials, obtaining regulatory approvals, manufacturing and supply, sales and marketing and general operations. In addition, other unanticipated costs may arise. Because the outcome of any clinical trial and/or regulatory approval process is highly uncertain, we may not be able to accurately estimate the actual amounts necessary to successfully complete the development, regulatory approval process and commercialization of soquelitinib, ciforadenant and mupadolimab or any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our planned expenditures and capital expenditures requirements, our cash, cash equivalents and marketable securities of $215.2 million as of June 30, 2026, we expect that our existing capital resources will be sufficient to fund our operations into the second quarter of 2028. As a result, we do not expect our existing capital resources to be sufficient to enable us to fund the completion of all of our ongoing and planned clinical trials and remaining development programs through commercialization. In addition, while Angel Pharmaceuticals has received outside investment of approximately $41.0 million in connection with its formation and licensing of certain of our intellectual property, such cash is not available for our use. Our operating plan may change as a result of many factors, including those described below as well as others currently unknown to us, and we will need to seek additional funds, through public or private equity, and debt financings or other sources, such as strategic collaborations. Such financing would result in dilution to stockholders, imposition of debt covenants and repayment obligations or other restrictions that may affect our business. If we raise additional capital through strategic collaboration agreements, we may have to relinquish valuable rights to our product candidates, including possible future revenue streams. For example, 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Angel Pharmaceuticals obtained global rights to our Bruton’s tyrosine kinase (“BTK”) inhibitor preclinical programs. In addition, additional funding may not be available to us on acceptable terms, or at all, and any additional fundraising efforts may divert our management from their day-to-day activities, which may adversely affect our ability to develop and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amount and timing of any expenditures needed to implement our development and commercialization programs will depend on numerous factors,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the type, number, scope, progress, expansions, results of and timing of our ongoing and planned clinical trials of soquelitinib (including the potential registration trial), ciforadenant and mupadolimab</w:t>
            </w:r>
            <w:r>
              <w:rPr>
                <w:caps w:val="false"/>
                <w:smallCaps w:val="false"/>
              </w:rPr>
              <w:t xml:space="preserve"> </w:t>
            </w:r>
            <w:r>
              <w:rPr>
                <w:rFonts w:ascii="Times New Roman;Times;serif" w:hAnsi="Times New Roman;Times;serif"/>
                <w:b w:val="false"/>
                <w:i w:val="false"/>
                <w:caps w:val="false"/>
                <w:smallCaps w:val="false"/>
                <w:sz w:val="20"/>
              </w:rPr>
              <w:t xml:space="preserve">and any of </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planned preclinical studies and clinical trials of other product candidates which we are pursuing or may choose to pursue in the future;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need for, and the progress, costs and results of, any additional clinical trials of soquelitinib, ciforadenant and mupadolimab or any of our other product candidates we may initiate based on the results of our planned clinical trials or discussions with the FDA or other regulatory agencies, including any additional trials the FDA or other regulatory agencies may require;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obtaining, maintaining and enforcing our patents and other intellectual property rights;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obtaining or maintaining manufacturing for soquelitinib, ciforadenant and mupadolimab and our other product candidates, including commercial manufacturing if any product candidate is approved;</w:t>
            </w:r>
          </w:p>
        </w:tc>
      </w:tr>
    </w:tbl>
    <w:tbl>
      <w:tblPr>
        <w:tblW w:w="6111" w:type="dxa"/>
        <w:jc w:val="left"/>
        <w:tblInd w:w="0" w:type="dxa"/>
        <w:tblLayout w:type="fixed"/>
        <w:tblCellMar>
          <w:top w:w="28" w:type="dxa"/>
          <w:left w:w="28" w:type="dxa"/>
          <w:bottom w:w="28" w:type="dxa"/>
          <w:right w:w="28" w:type="dxa"/>
        </w:tblCellMar>
      </w:tblPr>
      <w:tblGrid>
        <w:gridCol w:w="124"/>
        <w:gridCol w:w="256"/>
        <w:gridCol w:w="57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and timing of establishing sales and marketing capabilities;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achieve sufficient market acceptance, coverage and reimbursement from third-party payors and adequate market share for our product candidates;</w:t>
            </w:r>
          </w:p>
        </w:tc>
      </w:tr>
    </w:tbl>
    <w:tbl>
      <w:tblPr>
        <w:tblW w:w="8181" w:type="dxa"/>
        <w:jc w:val="left"/>
        <w:tblInd w:w="0" w:type="dxa"/>
        <w:tblLayout w:type="fixed"/>
        <w:tblCellMar>
          <w:top w:w="28" w:type="dxa"/>
          <w:left w:w="28" w:type="dxa"/>
          <w:bottom w:w="28" w:type="dxa"/>
          <w:right w:w="28" w:type="dxa"/>
        </w:tblCellMar>
      </w:tblPr>
      <w:tblGrid>
        <w:gridCol w:w="124"/>
        <w:gridCol w:w="256"/>
        <w:gridCol w:w="7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and timing of establishing collaborations, license agreements and other partnerships;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whether the FDA or other regulatory agencies accepts data from any clinical trials of our product candidates conducted by Angel Pharmaceuticals in China;</w:t>
            </w:r>
          </w:p>
        </w:tc>
      </w:tr>
    </w:tbl>
    <w:tbl>
      <w:tblPr>
        <w:tblW w:w="8061" w:type="dxa"/>
        <w:jc w:val="left"/>
        <w:tblInd w:w="0" w:type="dxa"/>
        <w:tblLayout w:type="fixed"/>
        <w:tblCellMar>
          <w:top w:w="28" w:type="dxa"/>
          <w:left w:w="28" w:type="dxa"/>
          <w:bottom w:w="28" w:type="dxa"/>
          <w:right w:w="28" w:type="dxa"/>
        </w:tblCellMar>
      </w:tblPr>
      <w:tblGrid>
        <w:gridCol w:w="124"/>
        <w:gridCol w:w="256"/>
        <w:gridCol w:w="7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associated with any new product candidates that we may develop, in-license or acquire;</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4881" w:type="dxa"/>
        <w:jc w:val="left"/>
        <w:tblInd w:w="0" w:type="dxa"/>
        <w:tblLayout w:type="fixed"/>
        <w:tblCellMar>
          <w:top w:w="28" w:type="dxa"/>
          <w:left w:w="28" w:type="dxa"/>
          <w:bottom w:w="28" w:type="dxa"/>
          <w:right w:w="28" w:type="dxa"/>
        </w:tblCellMar>
      </w:tblPr>
      <w:tblGrid>
        <w:gridCol w:w="124"/>
        <w:gridCol w:w="256"/>
        <w:gridCol w:w="4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conditions, such as rising inflation;</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 of competing technological and market developments;</w:t>
            </w:r>
          </w:p>
        </w:tc>
      </w:tr>
    </w:tbl>
    <w:tbl>
      <w:tblPr>
        <w:tblW w:w="5091" w:type="dxa"/>
        <w:jc w:val="left"/>
        <w:tblInd w:w="0" w:type="dxa"/>
        <w:tblLayout w:type="fixed"/>
        <w:tblCellMar>
          <w:top w:w="28" w:type="dxa"/>
          <w:left w:w="28" w:type="dxa"/>
          <w:bottom w:w="28" w:type="dxa"/>
          <w:right w:w="28" w:type="dxa"/>
        </w:tblCellMar>
      </w:tblPr>
      <w:tblGrid>
        <w:gridCol w:w="124"/>
        <w:gridCol w:w="256"/>
        <w:gridCol w:w="47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hire and retain qualified personnel;</w:t>
            </w:r>
          </w:p>
        </w:tc>
      </w:tr>
    </w:tbl>
    <w:tbl>
      <w:tblPr>
        <w:tblW w:w="7266" w:type="dxa"/>
        <w:jc w:val="left"/>
        <w:tblInd w:w="0" w:type="dxa"/>
        <w:tblLayout w:type="fixed"/>
        <w:tblCellMar>
          <w:top w:w="28" w:type="dxa"/>
          <w:left w:w="28" w:type="dxa"/>
          <w:bottom w:w="28" w:type="dxa"/>
          <w:right w:w="28" w:type="dxa"/>
        </w:tblCellMar>
      </w:tblPr>
      <w:tblGrid>
        <w:gridCol w:w="124"/>
        <w:gridCol w:w="256"/>
        <w:gridCol w:w="6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establish and maintain partnering arrangements for development; and</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associated with being a public company.</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Several of these factors are outside of our control and if we are unable to obtain funding on a timely basis, or at all, we will be unable to complete the clinical trials for soquelitinib, ciforadenant and mupadolimab and our other product candidates, and we may be required to significantly curtail some or all of our activities.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the Discovery and Development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in various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invested a significant portion of our efforts and financial resources in the development of our most advanced product candidates, soquelitinib, ciforadenant and mupadolimab. We have no products on the market and our ability to achieve and sustain profitability depends on obtaining regulatory approvals for and successfully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commercializing our product candidates, either alone or with third parties. Before obtaining regulatory approval for the commercial distribution of our product candidates, we or our collaborators must conduct extensive preclinical tests and clinical trials to demonstrate sufficient safety and efficacy of our product candidates in patients.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or inconclusive results from our clinical trials, the clinical trials of our collaborators, including Angel Pharmaceuticals, or the clinical trials of others for product candidates similar to ours, leading to a decision or requirement to conduct additional preclinical testing or clinical trials or abandon a program;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product-related side effects experienced by participants in our clinical trials, the clinical trials of our collaborators or by individuals using drugs or therapeutic biologics similar to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submitting Investigational New Drug Applications (“INDs”) or comparable foreign applications or delays or failure in obtaining the necessary approvals from regulators to commence a clinical trial, or a suspension or termination of a clinical trial once commenced;</w:t>
            </w:r>
          </w:p>
        </w:tc>
      </w:tr>
    </w:tbl>
    <w:tbl>
      <w:tblPr>
        <w:tblW w:w="9981" w:type="dxa"/>
        <w:jc w:val="left"/>
        <w:tblInd w:w="0" w:type="dxa"/>
        <w:tblLayout w:type="fixed"/>
        <w:tblCellMar>
          <w:top w:w="28" w:type="dxa"/>
          <w:left w:w="28" w:type="dxa"/>
          <w:bottom w:w="28" w:type="dxa"/>
          <w:right w:w="28" w:type="dxa"/>
        </w:tblCellMar>
      </w:tblPr>
      <w:tblGrid>
        <w:gridCol w:w="124"/>
        <w:gridCol w:w="256"/>
        <w:gridCol w:w="96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imposed by the FDA or comparable foreign authorities regarding the scope or design of our clinical trials;</w:t>
            </w:r>
          </w:p>
        </w:tc>
      </w:tr>
    </w:tbl>
    <w:tbl>
      <w:tblPr>
        <w:tblW w:w="4851" w:type="dxa"/>
        <w:jc w:val="left"/>
        <w:tblInd w:w="0" w:type="dxa"/>
        <w:tblLayout w:type="fixed"/>
        <w:tblCellMar>
          <w:top w:w="28" w:type="dxa"/>
          <w:left w:w="28" w:type="dxa"/>
          <w:bottom w:w="28" w:type="dxa"/>
          <w:right w:w="28" w:type="dxa"/>
        </w:tblCellMar>
      </w:tblPr>
      <w:tblGrid>
        <w:gridCol w:w="124"/>
        <w:gridCol w:w="256"/>
        <w:gridCol w:w="44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enrolling research subjects in clinical trials;</w:t>
            </w:r>
          </w:p>
        </w:tc>
      </w:tr>
    </w:tbl>
    <w:tbl>
      <w:tblPr>
        <w:tblW w:w="3756" w:type="dxa"/>
        <w:jc w:val="left"/>
        <w:tblInd w:w="0" w:type="dxa"/>
        <w:tblLayout w:type="fixed"/>
        <w:tblCellMar>
          <w:top w:w="28" w:type="dxa"/>
          <w:left w:w="28" w:type="dxa"/>
          <w:bottom w:w="28" w:type="dxa"/>
          <w:right w:w="28" w:type="dxa"/>
        </w:tblCellMar>
      </w:tblPr>
      <w:tblGrid>
        <w:gridCol w:w="124"/>
        <w:gridCol w:w="256"/>
        <w:gridCol w:w="3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high drop-out rates of research subjects;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inadequate supply or quality of product candidate components or materials or other supplies necessary for the conduct of our clinical trials or the clinical trials of our collaborators;</w:t>
            </w:r>
          </w:p>
        </w:tc>
      </w:tr>
    </w:tbl>
    <w:tbl>
      <w:tblPr>
        <w:tblW w:w="3996" w:type="dxa"/>
        <w:jc w:val="left"/>
        <w:tblInd w:w="0" w:type="dxa"/>
        <w:tblLayout w:type="fixed"/>
        <w:tblCellMar>
          <w:top w:w="28" w:type="dxa"/>
          <w:left w:w="28" w:type="dxa"/>
          <w:bottom w:w="28" w:type="dxa"/>
          <w:right w:w="28" w:type="dxa"/>
        </w:tblCellMar>
      </w:tblPr>
      <w:tblGrid>
        <w:gridCol w:w="124"/>
        <w:gridCol w:w="256"/>
        <w:gridCol w:w="3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greater than anticipated clinical trial costs;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 in the development, approval or certification of companion diagnostic tests for our product candidates;</w:t>
            </w:r>
          </w:p>
        </w:tc>
      </w:tr>
    </w:tbl>
    <w:tbl>
      <w:tblPr>
        <w:tblW w:w="7716" w:type="dxa"/>
        <w:jc w:val="left"/>
        <w:tblInd w:w="0" w:type="dxa"/>
        <w:tblLayout w:type="fixed"/>
        <w:tblCellMar>
          <w:top w:w="28" w:type="dxa"/>
          <w:left w:w="28" w:type="dxa"/>
          <w:bottom w:w="28" w:type="dxa"/>
          <w:right w:w="28" w:type="dxa"/>
        </w:tblCellMar>
      </w:tblPr>
      <w:tblGrid>
        <w:gridCol w:w="124"/>
        <w:gridCol w:w="25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FDA or other regulatory agency inspection and review of a clinical trial site;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of our third-party contractors or investigators to comply with regulatory requirements or otherwise meet their contractual obligations in a timely manner, or at all;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and changes in regulatory requirements, policy and guidelines, including the imposition of additional regulatory oversight around clinical testing generally or with respect to our technology in particular; or</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varying interpretations of data by the FDA and similar foreign regulatory agencies.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could find that the product candidates we or our collaborators pursue are not safe or effective. Furthermore, if one or more of our product candidates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Of the large number of drugs in development in the pharmaceutical industry, only a small percentage result in the submission of a NDA or Biologics License Application (“BLA”) to the FDA or comparable marketing applications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to foreign regulatory authorities, and even fewer are approved for commercialization. Furthermore, even if we do receive regulatory approval to market soquelitinib, ciforadenant or mupadolimab, any such approval may be subject to limitations on the indicated uses for which we may market the product. Accordingly, even if we are able to obtain the requisite financing to continue to fund our development programs, we cannot assure our stockholders that soquelitinib, ciforadenant or mupadolimab will be successfully developed or commercialized. If we or any of our existing or potential future collaborators are unable to develop, or obtain regulatory approval for, or, if approved, successfully commercialize soquelitinib, ciforadenant or mupadolimab, we may not be able to generate sufficient revenue to continue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Clinical drug development involves a lengthy and expensive process with an uncertain outcome, and the results of preclinical studies and early clinical trials are not necessarily predictive of future results. Any product candidate we or any of our existing or potential future collaborators advance into clinical trials, including soquelitinib, ciforadenant and mupadolimab, may not have favorable results in later clinical trials, if any, or receive regulatory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Clinical testing is expensive and can take many years to complete, and its outcome is inherently uncertain. Failure can occur at any time during the clinical trial process.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adverse safety profiles, notwithstanding promising results in earlier trials.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Under our collaboration with Angel Pharmaceuticals, Angel Pharmaceuticals is responsible for the clinical development and commercialization, including all related expenses, of the licensed pipeline programs in greater China, and for the pre-clinical BTK program globally. Clinical trials conducted by Angel Pharmaceuticals will be subject to many of the same risks as our ongoing clinical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be certain that our ongoing or planned clinical trials or any other future clinical trials will be successful.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FDA’s and other regulatory authorities’ policies with respect to clinical trials may change and additional government regulations may be enacted. For instance, the regulatory landscape related to clinical trials in the European Union (“EU”) has evolved. The EU Clinical Trials Regulation (“CTR”) which was adopted in April 2014 and repealed the EU Clinical Trials Directive, became applicable on January 31, 2022. While the EU Clinical Trials Directive required a separate CTA to be submitted in each member state in which the clinical trial takes place, to both the competent national health authority and an independent ethics committee, the CTR introduced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our collaborators and third-party service providers, such as contract research organizations (“CROs”), may impact our developments plans.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slow or unable to adapt to changes in existing requirements or the adoption of new requirements or policies governing clinical trials, our development plans may also be impacted.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termination or suspension of, or delays in the commencement or completion of, our planned clinical trials could result in increased costs to us, delay or limit our ability to generate revenue and adversely affect our commercial prospects.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Before we can initiate clinical trials in the United States or in foreign countries for any of our product and development candidates, we must submit the results of preclinical testing to the FDA or foreign regulatory authorities along with other information, including information about product candidate chemistry, manufacturing and controls and our proposed clinical trial protocol, as part of an IND or similar application. In addition, we may rely in part on preclinical, clinical and quality data generated by CROs and other third parties for regulatory submissions for our product candidates. If these third parties do not make timely regulatory submissions for our product candidates, it will delay our plans for our clinical trials. If those third parties do not make this data available to us, we will likely have to develop all necessary preclinical and clinical data on our own, which will lead to significant delays and increase development costs of the product candidate. In addition, the FDA or foreign regulatory authorities may require us to conduct additional preclinical testing for any product candidate before it allows us to initiate clinical testing under any IND or similar application, which may lead to additional delays and increase the costs of our preclinical development. Delays in the completion of our planned clinical trials for product candidates could significantly affect our product development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initiated several clinical trials, we do not know whether any of our other planned trials will begin on time in the future or whether any of our trials will be completed on schedule, if at all. The commencement and completion of clinical trials can be delayed for a number of reasons, including delays related to:</w:t>
      </w:r>
    </w:p>
    <w:tbl>
      <w:tblPr>
        <w:tblW w:w="9711" w:type="dxa"/>
        <w:jc w:val="left"/>
        <w:tblInd w:w="0" w:type="dxa"/>
        <w:tblLayout w:type="fixed"/>
        <w:tblCellMar>
          <w:top w:w="28" w:type="dxa"/>
          <w:left w:w="28" w:type="dxa"/>
          <w:bottom w:w="28" w:type="dxa"/>
          <w:right w:w="28" w:type="dxa"/>
        </w:tblCellMar>
      </w:tblPr>
      <w:tblGrid>
        <w:gridCol w:w="124"/>
        <w:gridCol w:w="256"/>
        <w:gridCol w:w="93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or foreign regulatory authorities failing to grant permission to proceed or placing a clinical trial on hold;</w:t>
            </w:r>
          </w:p>
        </w:tc>
      </w:tr>
    </w:tbl>
    <w:tbl>
      <w:tblPr>
        <w:tblW w:w="5976" w:type="dxa"/>
        <w:jc w:val="left"/>
        <w:tblInd w:w="0" w:type="dxa"/>
        <w:tblLayout w:type="fixed"/>
        <w:tblCellMar>
          <w:top w:w="28" w:type="dxa"/>
          <w:left w:w="28" w:type="dxa"/>
          <w:bottom w:w="28" w:type="dxa"/>
          <w:right w:w="28" w:type="dxa"/>
        </w:tblCellMar>
      </w:tblPr>
      <w:tblGrid>
        <w:gridCol w:w="124"/>
        <w:gridCol w:w="256"/>
        <w:gridCol w:w="55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failing to enroll or remain in our trial at the rate we expect;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choosing an alternative treatment for the indication for which we are developing soquelitinib, ciforadenant and mupadolimab or other product candidates, or participating in competing clinical trials;</w:t>
            </w:r>
          </w:p>
        </w:tc>
      </w:tr>
    </w:tbl>
    <w:tbl>
      <w:tblPr>
        <w:tblW w:w="4926" w:type="dxa"/>
        <w:jc w:val="left"/>
        <w:tblInd w:w="0" w:type="dxa"/>
        <w:tblLayout w:type="fixed"/>
        <w:tblCellMar>
          <w:top w:w="28" w:type="dxa"/>
          <w:left w:w="28" w:type="dxa"/>
          <w:bottom w:w="28" w:type="dxa"/>
          <w:right w:w="28" w:type="dxa"/>
        </w:tblCellMar>
      </w:tblPr>
      <w:tblGrid>
        <w:gridCol w:w="124"/>
        <w:gridCol w:w="256"/>
        <w:gridCol w:w="4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adequate funding to continue the clinical trial;</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subjects experiencing severe or unexpected drug-related adverse effects;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facility manufacturing soquelitinib, ciforadenant or mupadolimab, any of our other product candidates or any of their components being ordered by the FDA or other regulatory authorities to temporarily or permanently shut down due to violations of Good Manufacturing Practice (“GMP”) regulations or other applicable requirements, or infections or cross-contaminations of product candidates in the manufacturing process;</w:t>
            </w:r>
          </w:p>
        </w:tc>
      </w:tr>
    </w:tbl>
    <w:tbl>
      <w:tblPr>
        <w:tblW w:w="6651" w:type="dxa"/>
        <w:jc w:val="left"/>
        <w:tblInd w:w="0" w:type="dxa"/>
        <w:tblLayout w:type="fixed"/>
        <w:tblCellMar>
          <w:top w:w="28" w:type="dxa"/>
          <w:left w:w="28" w:type="dxa"/>
          <w:bottom w:w="28" w:type="dxa"/>
          <w:right w:w="28" w:type="dxa"/>
        </w:tblCellMar>
      </w:tblPr>
      <w:tblGrid>
        <w:gridCol w:w="124"/>
        <w:gridCol w:w="256"/>
        <w:gridCol w:w="62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manufacturing process that may be necessary or desired;</w:t>
            </w:r>
          </w:p>
        </w:tc>
      </w:tr>
    </w:tbl>
    <w:tbl>
      <w:tblPr>
        <w:tblW w:w="6966" w:type="dxa"/>
        <w:jc w:val="left"/>
        <w:tblInd w:w="0" w:type="dxa"/>
        <w:tblLayout w:type="fixed"/>
        <w:tblCellMar>
          <w:top w:w="28" w:type="dxa"/>
          <w:left w:w="28" w:type="dxa"/>
          <w:bottom w:w="28" w:type="dxa"/>
          <w:right w:w="28" w:type="dxa"/>
        </w:tblCellMar>
      </w:tblPr>
      <w:tblGrid>
        <w:gridCol w:w="124"/>
        <w:gridCol w:w="256"/>
        <w:gridCol w:w="6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failure or delay in reaching an agreement with CROs and clinical trial sites;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clinical investigators losing the licenses or permits necessary to perform our clinical trials, not performing our clinical trials on our anticipated schedule or consistent with the clinical trial protocol, Good Clinical Practice (“GCP”) or regulatory requirements or other third parties not performing data collection or analysis in a timely or accurate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or more Institutional Review Boards (“IRBs”) or other reviewing bodies refusing to approve, suspending or terminating the trial at an investigational site, precluding enrollment of additional subjects, or withdrawing its approval of the trial; or</w:t>
            </w:r>
          </w:p>
        </w:tc>
      </w:tr>
    </w:tbl>
    <w:tbl>
      <w:tblPr>
        <w:tblW w:w="6381" w:type="dxa"/>
        <w:jc w:val="left"/>
        <w:tblInd w:w="0" w:type="dxa"/>
        <w:tblLayout w:type="fixed"/>
        <w:tblCellMar>
          <w:top w:w="28" w:type="dxa"/>
          <w:left w:w="28" w:type="dxa"/>
          <w:bottom w:w="28" w:type="dxa"/>
          <w:right w:w="28" w:type="dxa"/>
        </w:tblCellMar>
      </w:tblPr>
      <w:tblGrid>
        <w:gridCol w:w="124"/>
        <w:gridCol w:w="256"/>
        <w:gridCol w:w="60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patients failing to complete a trial or return for post-treatment follow-up.</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could also encounter delays if a clinical trial is suspended or terminated by us, by the IRBs of the institutions in which such trials are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or other reviewing bodies for reexamination, which may impact the costs, timing or successful completion of a clinical trial.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or adversely affected. In addition, any delays in completing our clinical trials will increase our costs, slow down our product candidate development and approval process and jeopardize our ability to commence product sales and generate revenues. See also the risk factor below titled “</w:t>
      </w:r>
      <w:r>
        <w:rPr>
          <w:rFonts w:ascii="Times New Roman;Times;serif" w:hAnsi="Times New Roman;Times;serif"/>
          <w:i/>
          <w:sz w:val="20"/>
        </w:rPr>
        <w:t>If we encounter difficulties enrolling subjects in our clinical trials, our clinical development activities could be delayed or otherwise adversely affected</w:t>
      </w:r>
      <w:r>
        <w:rPr>
          <w:rFonts w:ascii="Times New Roman;Times;serif" w:hAnsi="Times New Roman;Times;serif"/>
          <w:sz w:val="20"/>
        </w:rPr>
        <w: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 may need to conduct additional studies to bridge our modified product candidates to earlier versions. Further, if one or more clinical trials are delayed, our competitors may be able to bring products to market before we do, and the commercial viability of soquelitinib, ciforadenant and mupadolimab or other product candidates could be significantly reduced. Any of these occurrences may harm our business, financial condition and prospects significantly.</w:t>
      </w:r>
    </w:p>
    <w:p>
      <w:pPr>
        <w:pStyle w:val="TextBody"/>
        <w:bidi w:val="0"/>
        <w:spacing w:lineRule="auto" w:line="285"/>
        <w:ind w:left="0" w:right="0" w:hanging="0"/>
        <w:jc w:val="left"/>
        <w:rPr>
          <w:rFonts w:ascii="Times New Roman;Times;serif" w:hAnsi="Times New Roman;Times;serif"/>
          <w:b/>
          <w:i/>
          <w:sz w:val="20"/>
        </w:rPr>
      </w:pPr>
      <w:r>
        <w:rPr>
          <w:rFonts w:ascii="Times New Roman;Times;serif" w:hAnsi="Times New Roman;Times;serif"/>
          <w:b/>
          <w:i/>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has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pStyle w:val="TextBody"/>
        <w:bidi w:val="0"/>
        <w:spacing w:lineRule="auto" w:line="285" w:before="120" w:after="0"/>
        <w:ind w:left="0" w:right="0" w:firstLine="720"/>
        <w:jc w:val="left"/>
        <w:rPr>
          <w:rFonts w:ascii="Times New Roman;Times;serif" w:hAnsi="Times New Roman;Times;serif"/>
          <w:sz w:val="20"/>
        </w:rPr>
      </w:pPr>
      <w:r>
        <w:rPr>
          <w:rFonts w:ascii="Times New Roman;Times;serif" w:hAnsi="Times New Roman;Times;serif"/>
          <w:sz w:val="20"/>
        </w:rPr>
        <w:t xml:space="preserve">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interim data and final data could significantly harm our business prospects. Further, disclosure of interim data by us or by our competitors could result in volatility in the price of our common stock.</w:t>
      </w:r>
    </w:p>
    <w:p>
      <w:pPr>
        <w:pStyle w:val="TextBody"/>
        <w:bidi w:val="0"/>
        <w:spacing w:lineRule="auto" w:line="285" w:before="120" w:after="240"/>
        <w:ind w:left="0" w:right="0" w:firstLine="720"/>
        <w:jc w:val="left"/>
        <w:rPr>
          <w:rFonts w:ascii="Times New Roman;Times;serif" w:hAnsi="Times New Roman;Times;serif"/>
          <w:sz w:val="20"/>
        </w:rPr>
      </w:pPr>
      <w:r>
        <w:rPr>
          <w:rFonts w:ascii="Times New Roman;Times;serif" w:hAnsi="Times New Roman;Times;serif"/>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results of operations, prospects or financial condition. </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product candidates are subject to extensive regulation, compliance with which is costly and time consuming, and such regulation may cause unanticipated delays or prevent the receipt of the required approvals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clinical development, manufacturing, labeling, storage, record-keeping, advertising, promotion, import, export, marketing and distribution of our product candidates are subject to extensive regulation by the FDA in the United States and by comparable authorities in foreign markets. In the United States, we are not permitted to market our product candidates until we receive regulatory approval from the FDA. The process of obtaining regulatory approval is expensive, often takes many years and can vary substantially based upon the type, complexity and novelty of the product candidates involved, as well as the target indications and patient population. Approval policies or regulations may change, and the FDA and comparable authorities have substantial discretion in the drug approval process, including the ability to delay, limit or deny approval of a product candidate for many reasons. Despite the time and expense invested in clinical development of product candidates, regulatory approval is never guaranteed.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or comparable foreign regulatory authorities, including in China, can delay, limit or deny approval of a product candidate for many reasons,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the design or implementation of our or any of our existing or potential future collaborators’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to the satisfaction of the FDA or other regulatory authorities that a product candidate is safe, pure, potent or effective for any indication;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not accept clinical data from trials which are conducted at clinical facilities or in countries where the standard of care is potentially different from that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any of our existing or potential future collaborators may be unable to demonstrate that a product candidate’s clinical and other benefits outweigh its safety risks;</w:t>
            </w:r>
          </w:p>
        </w:tc>
      </w:tr>
    </w:tbl>
    <w:tbl>
      <w:tblPr>
        <w:tblW w:w="8736" w:type="dxa"/>
        <w:jc w:val="left"/>
        <w:tblInd w:w="0" w:type="dxa"/>
        <w:tblLayout w:type="fixed"/>
        <w:tblCellMar>
          <w:top w:w="28" w:type="dxa"/>
          <w:left w:w="28" w:type="dxa"/>
          <w:bottom w:w="28" w:type="dxa"/>
          <w:right w:w="28" w:type="dxa"/>
        </w:tblCellMar>
      </w:tblPr>
      <w:tblGrid>
        <w:gridCol w:w="124"/>
        <w:gridCol w:w="256"/>
        <w:gridCol w:w="8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disagree with our interpretation of data from preclinical studies or clinical trials;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approval may be granted only for indications that are significantly more limited than what we apply for and/or with other significant restrictions on distribution and 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authorities may find deficiencies in the manufacturing processes or facilities of third-party manufacturers with which we or any of our existing or potential future collaborators contract for clinical and commercial supplies; or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approval policies or regulations of such authorities may significantly change in a manner rendering our or any of our existing or potential future collaborators’ clinical data insufficient for approval.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pharmaceuticals may result in increased cautiousness by the FDA and comparable foreign regulatory authorities, including in China, in reviewing new drugs based on safety, efficacy or other regulatory considerations and may result in significant delays in obtaining regulatory approvals. Any delay in obtaining, or inability to obtain, applicable regulatory approvals would prevent us or any of our existing or potential future collaborators from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conducting or plan to conduct clinical trials for soquelitinib, ciforadenant and mupadolimab, and we and Angel Pharmaceuticals may in the future conduct additional clinical trials of product candidates at sites outside the United States, and the FDA may not accept data from trials conducted in foreign locations.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are conducting oncology clinical trials with soquelitinib in North America, Australia and South Korea and with ciforadenant in North America in collaboration with the Kidney Cancer Research Consortium. In addition, Angel Pharmaceuticals has initiated clinical trials in China for soquelitinib and mupadolimab. The acceptance of study data from clinical trials conducted outside the U.S. or another jurisdiction by the FDA or comparable foreign regulatory authority may be subject to certain conditions or may not be accepted at all. In cases where data from foreign clinical trials are intended to serve as the sole basis for marketing approval in the U.S.,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if the trials were not subject to an IND,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U.S. or the applicable jurisdiction. If the FDA or such foreign regulatory authority does not accept the data from our or Angel Pharmaceuticals’ clinical trials for soquelitinib, ciforadenant or mupadolimab, or any other product candidates, it would likely result in the need for additional trials, which would be costly and time-consuming and delay or permanently halt our development of soquelitinib, ciforadenant or mupadolimab or any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encounter difficulties enrolling subjects in our clinical trials, our clinical development activities could be delayed or otherwise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Subject enrollment, a significant factor in the timing of clinical trials, is affected by many factors including the size and nature of the patient population, the proximity of patients to clinical sites, the eligibility criteria for the trial, the design of the clinical trial, the risk that enrolled patients will not complete a clinical trial, our ability to recruit clinical trial investigators with the appropriate competencies and experience, competing clinical trials and clinicians’ and patients’ perceptions as to the potential advantages of the product candidate being studied in relation to other available therapies, including any new drugs that may be approved for the indications we are investigating. We will be required to identify and enroll a sufficient number of subjects for each of our clinical trials. Potential subjects for any planned clinical trials may not be adequately diagnosed or identified with the diseases which we are targeting or may not meet the entry criteria for our studies. We also may encounter difficulties in identifying and enrolling subjects with a stage of disease appropriate for our planned clinical trials. We may not be able to initiate or continue clinical trials if we are unable to locate a sufficient number of eligible subjects to participate in the clinical trials required by the FDA or other foreign regulatory agencies. In addition, the process of finding and diagnosing subjects may prove costly.</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patients are unwilling to participate in our studies for any reason, including the existence of competitive clinical trials for similar patient populations, the availability of approved therapies or negative perceptions of the safety or efficacy of our product candidates, the timeline for recruiting subjects, conducting studies and obtaining regulatory approval of our product candidates may be delayed. Our inability to enroll a sufficient number of subjects for any of our future clinical trials would result in significant delays or may require us to abandon one or more clinical trials altogether.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believe we have appropriately considered the above factors in our trials when determining expected clinical trial timelines, but we cannot assure our stockholders that our assumptions are correct or that we will not experience delays in enrollment, which would result in the delay of completion of such trials beyond our expected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occurrence of serious complications or side effects in connection with use of our product candidates, either in clinical trials or post-approval, could lead to discontinuation of our clinical development programs, refusal of regulatory authorities to approve our product candidates or, post-approval, revocation of marketing authorizations or refusal to approve new indications, which could severely harm our business, prospects, results of operations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programs with different dosing regimens and in combination with other immunotherapies, or as use of these product candidates becomes more widespread if they receive regulatory approval, illnesses, injuries, discomforts and other adverse events that were observed in earlier trials, as well as conditions that did not occur or went undetected in previous trials, will be reported by subjects.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Side effects are often only detectable after investigational products are tested in large-scale, Phase 3 clinical trials or, in some cases, after they are made available to patients on a commercial scale after approval. Results of our current clinical trials and any future clinical trials we undertake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product candidates for any or all targeted indications. Drug-related side effects could affect patient recruitment or the ability of enrolled patients to complete the trial or result in potential product liability claims. Any of these occurrences may harm our business, financial condition and prospects significantly.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one or more of our product candidates receives marketing approval, and we or others later identify undesirable side effects caused by such products, a number of potentially significant negative consequences could result, including:</w:t>
      </w:r>
    </w:p>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withdraw approvals of such product;</w:t>
            </w:r>
          </w:p>
        </w:tc>
      </w:tr>
    </w:tbl>
    <w:tbl>
      <w:tblPr>
        <w:tblW w:w="6021" w:type="dxa"/>
        <w:jc w:val="left"/>
        <w:tblInd w:w="0" w:type="dxa"/>
        <w:tblLayout w:type="fixed"/>
        <w:tblCellMar>
          <w:top w:w="28" w:type="dxa"/>
          <w:left w:w="28" w:type="dxa"/>
          <w:bottom w:w="28" w:type="dxa"/>
          <w:right w:w="28" w:type="dxa"/>
        </w:tblCellMar>
      </w:tblPr>
      <w:tblGrid>
        <w:gridCol w:w="124"/>
        <w:gridCol w:w="256"/>
        <w:gridCol w:w="56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authorities may require additional warnings on the label;</w:t>
            </w:r>
          </w:p>
        </w:tc>
      </w:tr>
    </w:tbl>
    <w:tbl>
      <w:tblPr>
        <w:tblW w:w="9786" w:type="dxa"/>
        <w:jc w:val="left"/>
        <w:tblInd w:w="0" w:type="dxa"/>
        <w:tblLayout w:type="fixed"/>
        <w:tblCellMar>
          <w:top w:w="28" w:type="dxa"/>
          <w:left w:w="28" w:type="dxa"/>
          <w:bottom w:w="28" w:type="dxa"/>
          <w:right w:w="28" w:type="dxa"/>
        </w:tblCellMar>
      </w:tblPr>
      <w:tblGrid>
        <w:gridCol w:w="124"/>
        <w:gridCol w:w="256"/>
        <w:gridCol w:w="94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required to create a medication guide outlining the risks of such side effects for distribution to patients;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sued and held liable for harm caused to patients; and</w:t>
            </w:r>
          </w:p>
        </w:tc>
      </w:tr>
    </w:tbl>
    <w:tbl>
      <w:tblPr>
        <w:tblW w:w="2616" w:type="dxa"/>
        <w:jc w:val="left"/>
        <w:tblInd w:w="0" w:type="dxa"/>
        <w:tblLayout w:type="fixed"/>
        <w:tblCellMar>
          <w:top w:w="28" w:type="dxa"/>
          <w:left w:w="28" w:type="dxa"/>
          <w:bottom w:w="28" w:type="dxa"/>
          <w:right w:w="28" w:type="dxa"/>
        </w:tblCellMar>
      </w:tblPr>
      <w:tblGrid>
        <w:gridCol w:w="124"/>
        <w:gridCol w:w="256"/>
        <w:gridCol w:w="2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reputation may suffer.</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of these events could prevent us from achieving or maintaining market acceptance of the particular product candidate, if approved, and could significantly harm our business, results of operations and prospects.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 xml:space="preserve">A Fast Track designation from the FDA, even if granted for any of our product candidates, may not lead to a faster development or regulatory review or approval process, and does not increase the likelihood that our product candidates will receive regulatory approval.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July 29, 2024, the FDA granted Fast Track designation for soquelitinib for the treatment of adult patients with relapsed or refractory peripheral T-cell lymphoma after at least two lines of systemic therapy. Depending on the data from our preclinical and clinical studies, we may decide to seek additional Fast Track designations for some or all of our other product candidates. The Fast Track program is intended to expedite or facilitate the process for reviewing product candidates that meet certain criteria. Specifically, drugs and biologics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application on a rolling basis before the complete application is submitted, if the sponsor provides a schedule for the submission of the sections of the NDA or BLA, the FDA agrees to accept sections of the NDA or BLA and determines that the schedule is acceptable, and the sponsor pays any required user fees upon submission of the first section of the application.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broad discretion whether or not to grant this designation. Even if we believe a particular product candidate is eligible for this designation, we cannot assure you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soquelitinib or any other product candidate that may be granted Fast Track designation will receive regulatory approval in the U.S. Many product candidates that have received Fast Track designation have ultimately failed to obtain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our efforts to identify or discover additional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success of our business depends primarily upon our ability to develop and commercialize soquelitinib, ciforadenant and mupadolimab. Although soquelitinib, ciforadenant and mupadolimab are currently in clinical development, our research programs may fail to identify other potential product candidates, or advance them into and through clinical development for a number of reasons. Our research methodology may be unsuccessful in identifying other potential product candidates or our other potential product candidates may be shown to have harmful side effects or may have other characteristics that may make the products unmarketable or unlikely to receive marketing approval. It may also take greater human and financial resources to identify additional therapeutic opportunities for our product candidates or to develop suitable potential product candidates through our research programs than we will possess, thereby limiting our ability to diversify and expand our product candidate portfolio.</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Reliance on Third Parties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and expect to continue to rely, on third parties to conduct our clinical trials. If these third parties do not meet our deadlines or otherwise conduct the trials as required, our clinical development programs could be delayed or unsuccessful and we may not be able to obtain regulatory approval for or commercialize our product candidates when expected, or at all.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do not have the ability to conduct all aspects of our preclinical testing or clinical trials ourselves. As a result, we are dependent on third parties to conduct our ongoing and planned clinical trials for soquelitinib, ciforadenant and mupadolimab and expect to continue to be dependent on third parties to conduct any additional future clinical trials of soquelitinib, ciforadenant and mupadolimab and preclinical and clinical trials for our other product candidates. The timing of the initiation and completion of these trials will therefore be controlled by such third parties and may occur at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times substantially different from our estimates. Specifically, we use and rely on medical institutions, clinical investigators, CROs and consultants to conduct our trials in accordance with our clinical protocols and regulatory requirements. Such CROs, investigators and other third parties play a significant role in the conduct of these trials and subsequent collection and analysis of data, and we will control only certain aspects of their activities. Nevertheless, we are responsible for ensuring that each of our studies is conducted in accordance with the applicable protocol and legal, regulatory and scientific standards, and our reliance on the CROs and other third parties does not relieve us of our regulatory responsibilities. We and our CROs are required to comply with GCP requirements, which are regulations and guidelines enforced by the FDA, the competent authorities of the EU member states and comparable foreign regulatory authorities for all of our product candidates in clinical development.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Regulatory authorities enforce these GCPs through periodic inspections of trial sponsors, principal investigators and trial sites. If we or any of our CROs or trial sites fail to comply with applicable GCPs, the clinical data generated in our clinical trials may be deemed unreliable, and the FDA or comparable foreign regulatory authorities may require us to perform additional clinical trials before approving our marketing applications. In addition, our clinical trials must be conducted with product produced under cGMP or similar regulations. Our failure to comply with these regulations may require us to repeat clinical trials, which would delay the regulatory approval process.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There is no guarantee that any such CROs, investigators or other third parties will devote adequate time and resources to such trials or perform as contractually required. If any of these third parties fail to meet expected deadlines, adhere to our clinical protocols or meet regulatory requirements, or otherwise performs in a substandard manner, our clinical trials may be extended, delayed or terminated.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principal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BLA or other applications we submit to the FDA or foreign regulatory authorities. Any such delay or rejection could prevent us from commercializing soquelitinib, ciforadenant and mupadolimab or our other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rely on third parties to conduct some or all aspects of our manufacturing, research and preclinical and clinical testing, and these third parties may not perform satisfactorily.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expect to independently conduct all aspects of our manufacturing, research and preclinical and clinical testing. We currently rely, and expect to continue to rely, on third parties with respect to these items. If these third parties do not successfully carry out their contractual duties, meet expected deadlines or conduct our studies in accordance with regulatory requirements or our stated study plans and protocols, we may not be able to complete, or may be delayed in completing, the preclinical and clinical studies required to support future IND or other submissions and approval of our product candidates. Furthermore, any of these third parties may terminate its engagement with us at any time. If we need to enter into alternative arrangements, it could delay our product development activities, and we may not be able to negotiate alternative arrangements on commercially reasonable terms, or at all.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contract manufacturers are subject to significant regulation with respect to manufacturing our products and the contract manufacturers on which we rely may not continue to meet regulatory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do not currently have nor do we plan to acquire the infrastructure or internal capability to manufacture our clinical drug supplies for use in the conduct of our trials, and we lack the resources and the capability to manufacture any of our product candidates on a clinical or commercial scale. We currently rely on several different manufacturers who supply different parts of the ciforadenant and soquelitinib molecules, on one manufacturer for mupadolimab drug substance and on other third-party manufacturers to produce our other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late-stage clinical studies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manufacturers must supply all necessary documentation in support of an NDA or BLA on a timely basis and must adhere to the FDA’s Good Laboratory Practice regulations and cGMP regulations enforced by the FDA through its facilities inspection program. Our facilities and quality systems and the facilities and quality systems of some or all of our third-party contractors must successfully complete a pre-approval inspection for compliance with the applicable regulations as a condition of regulatory approval of our product candidates or any of our other potential products. In addition, the regulatory authorities may, at any time, audit or inspect our manufacturing facilities or those of our third-party contractors involved with the preparation of our product candidates or the associated quality systems for compliance with the regulations applicable to the activities being conducted. We do not control the manufacturing process of, and are completely dependent on, our contract manufacturing partners for compliance with cGMPs. Similar requirements must be complied with in foreign jurisdictions.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regulatory authorities also may, at any time following approval of a product for sale, audit the manufacturing facilities of our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 party to implement and that may include the temporary or permanent suspension of a clinical study or commercial sales or the temporary or permanent closure of a facility. Such violations could also result in civil and/or criminal penalties, and the FDA or foreign regulatory authorities may impose regulatory sanctions including, among other things, refusal to approve a pending application for a new drug product or biologic product, revocation of a pre-existing approval or closing one or more manufacturing facilities.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supply from an approved manufacturer is interrupted, there could be a significant disruption in commercial supply. An alternative manufacturer would need to be qualified through an NDA or BLA supplement which could result in further delay. The regulatory agencies may also require additional studies if a new manufacturer is relied upon for commercial production. Changing manufacturers may involve substantial costs and is likely to result in a delay in our desired clinical and commercial timelines.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or our third-party manufacturers, may be unable to successfully scale-up manufacturing of our product candidates in sufficient quality and quantity, which would delay or prevent us from developing our product candidates and commercializing approved products, if any.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order to conduct clinical trials of our product candidates, we will need to manufacture them in large quantities. We, or any manufacturing partners, may be unable to successfully increase the manufacturing capacity for any of our product candidates in a timely or cost-effective manner, or at all. In addition, quality issues may arise during scale-up activities. If we or any manufacturing partners are unable to successfully scale up the manufacture of our product candidates in sufficient quality and quantity, the development, testing and clinical trials of that product candidate may be delayed or become infeasible, and regulatory approval or commercial launch of any resulting product may be delayed or not obtained, which could significantly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 supply chain for the manufacturing of our product candidates is complicated and can involve several parties. If we were to experience any supply chain issues, our product supply could be seriously disrupted. We expect that the logistical challenges associated with our supply chain will grow more complex as we expand enrollment in our clinical trials for soquelitinib, ciforadenant and mupadolimab and as we commence any clinical trials for additional product candidates.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reliance on third parties requires us to share our trade secrets, which increases the possibility that a competitor will discover them or that our trade secrets will be misappropriated or disclosed.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rely on third parties to research and develop and to manufacture our product candidates, we must share trade secrets with them.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these agreements typically restrict the ability of our advisors, employees, third-party contractors and consultants to publish data potentially relating to our trade secrets, although our agreements may contain certain limited publication rights. For example, any academic institution that we may collaborate with in the future will likely expect to be granted rights to publish data arising out of such collaboration. In the future we may also conduct joint research and development programs that may require us to share trade secrets under the terms of our research and development or similar agreements. Despite our efforts to protect our trade secrets, our competitors may discover our trade secrets, either through breach of our agreements with third parties, independent development or publication of information by any of our third-party collaborators. A competitor’s discovery of our trade secrets would impair our competitive position and have an adverse impact on our business.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Commercialization of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commercialize our product candidates or if we experience significant delays in obtaining regulatory approval for, or commercializing, any or all of our product candidates, our business will be materially and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ability to generate product revenue will depend heavily on our ability to successfully develop and commercialize our product candidates. We do not expect that such commercialization of any of our product candidates will occur for at least the next few years, if ever. Our ability to commercialize our product candidates effectively will depend on several factors, including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 completion of preclinical studies and clinical trials, including the ability to demonstrate safety and efficacy of our product candidates;</w:t>
            </w:r>
          </w:p>
        </w:tc>
      </w:tr>
    </w:tbl>
    <w:tbl>
      <w:tblPr>
        <w:tblW w:w="4896" w:type="dxa"/>
        <w:jc w:val="left"/>
        <w:tblInd w:w="0" w:type="dxa"/>
        <w:tblLayout w:type="fixed"/>
        <w:tblCellMar>
          <w:top w:w="28" w:type="dxa"/>
          <w:left w:w="28" w:type="dxa"/>
          <w:bottom w:w="28" w:type="dxa"/>
          <w:right w:w="28" w:type="dxa"/>
        </w:tblCellMar>
      </w:tblPr>
      <w:tblGrid>
        <w:gridCol w:w="124"/>
        <w:gridCol w:w="256"/>
        <w:gridCol w:w="4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complexity of our clinical trial designs;</w:t>
            </w:r>
          </w:p>
        </w:tc>
      </w:tr>
    </w:tbl>
    <w:tbl>
      <w:tblPr>
        <w:tblW w:w="7581" w:type="dxa"/>
        <w:jc w:val="left"/>
        <w:tblInd w:w="0" w:type="dxa"/>
        <w:tblLayout w:type="fixed"/>
        <w:tblCellMar>
          <w:top w:w="28" w:type="dxa"/>
          <w:left w:w="28" w:type="dxa"/>
          <w:bottom w:w="28" w:type="dxa"/>
          <w:right w:w="28" w:type="dxa"/>
        </w:tblCellMar>
      </w:tblPr>
      <w:tblGrid>
        <w:gridCol w:w="124"/>
        <w:gridCol w:w="256"/>
        <w:gridCol w:w="7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from the FDA and similar foreign regulatory authorities;</w:t>
            </w:r>
          </w:p>
        </w:tc>
      </w:tr>
    </w:tbl>
    <w:tbl>
      <w:tblPr>
        <w:tblW w:w="9336" w:type="dxa"/>
        <w:jc w:val="left"/>
        <w:tblInd w:w="0" w:type="dxa"/>
        <w:tblLayout w:type="fixed"/>
        <w:tblCellMar>
          <w:top w:w="28" w:type="dxa"/>
          <w:left w:w="28" w:type="dxa"/>
          <w:bottom w:w="28" w:type="dxa"/>
          <w:right w:w="28" w:type="dxa"/>
        </w:tblCellMar>
      </w:tblPr>
      <w:tblGrid>
        <w:gridCol w:w="124"/>
        <w:gridCol w:w="256"/>
        <w:gridCol w:w="8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capabilities by making arrangements with third-party manufacturers;</w:t>
            </w:r>
          </w:p>
        </w:tc>
      </w:tr>
    </w:tbl>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launching commercial sales of any approved products, whether alone or in collaboration with others;</w:t>
            </w:r>
          </w:p>
        </w:tc>
      </w:tr>
    </w:tbl>
    <w:tbl>
      <w:tblPr>
        <w:tblW w:w="8406" w:type="dxa"/>
        <w:jc w:val="left"/>
        <w:tblInd w:w="0" w:type="dxa"/>
        <w:tblLayout w:type="fixed"/>
        <w:tblCellMar>
          <w:top w:w="28" w:type="dxa"/>
          <w:left w:w="28" w:type="dxa"/>
          <w:bottom w:w="28" w:type="dxa"/>
          <w:right w:w="28" w:type="dxa"/>
        </w:tblCellMar>
      </w:tblPr>
      <w:tblGrid>
        <w:gridCol w:w="124"/>
        <w:gridCol w:w="256"/>
        <w:gridCol w:w="80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any approved products by patients, the medical community and third-party payors;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market share while competing with other therapies;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continued acceptable safety profile of any approved products;</w:t>
            </w:r>
          </w:p>
        </w:tc>
      </w:tr>
    </w:tbl>
    <w:tbl>
      <w:tblPr>
        <w:tblW w:w="7281" w:type="dxa"/>
        <w:jc w:val="left"/>
        <w:tblInd w:w="0" w:type="dxa"/>
        <w:tblLayout w:type="fixed"/>
        <w:tblCellMar>
          <w:top w:w="28" w:type="dxa"/>
          <w:left w:w="28" w:type="dxa"/>
          <w:bottom w:w="28" w:type="dxa"/>
          <w:right w:w="28" w:type="dxa"/>
        </w:tblCellMar>
      </w:tblPr>
      <w:tblGrid>
        <w:gridCol w:w="124"/>
        <w:gridCol w:w="256"/>
        <w:gridCol w:w="69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compliance with post-approval regulation and other requirements;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qualifying for, identifying, registering, maintaining, enforcing and defending intellectual property rights and claims covering our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experience significant delays or an inability to commercialize our product candidates, our business, financial condition and results of operations will be materially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achieve our projected development goals in the time frames we announce and expect, the commercialization of our products may be delayed and, as a result, our stock price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estimate the timing of the accomplishment of various scientific, clinical, regulatory and other product development goals, which we sometimes refer to as milestones. These milestones may include the commencement or completion of scientific studies and clinical trials and the submission of regulatory filings. From time to time, we may publicly announce the expected timing of some of these milestones. All of these milestones will be based on a variety of assumptions, and the actual timing of these milestones can vary dramatically compared to our estimates, in some cases for reasons beyond our control. If we do not meet these milestones as publicly announced, the commercialization of our products may be delayed and, as a result, our stock price may decline.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approved products could be subject to restrictions or withdrawal from the market, and we may be subject to penalties if we fail to comply with regulatory requirements or if we experience unanticipated problems with our product candidates, when and if any of them are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Following potential approval of any of our product candidates, the FDA or foreign regulatory authorities may impose significant restrictions on a product’s indicated uses or marketing or impose ongoing requirements for potentially costly and time consuming post-approval studies, post-market surveillance or clinical trials. Following approval, if any, of soquelitinib, ciforadenant and mupadolimab or any other product candidate, such candidate will also be subject to ongoing FDA or foreign regulatory authorities’ requirements governing the labeling, packaging, storage, distribution, safety surveillance, advertising, promotion, recordkeeping and reporting of safety and other post-market information.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requesting recall or withdrawal of the product from the market or suspension of manufacturing.</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or the manufacturing facilities for soquelitinib, ciforadenant and mupadolimab or any other product candidate that may receive regulatory approval, if any, fail to comply with applicable regulatory requirements, a regulatory agency may:</w:t>
      </w:r>
    </w:p>
    <w:tbl>
      <w:tblPr>
        <w:tblW w:w="3681" w:type="dxa"/>
        <w:jc w:val="left"/>
        <w:tblInd w:w="0" w:type="dxa"/>
        <w:tblLayout w:type="fixed"/>
        <w:tblCellMar>
          <w:top w:w="28" w:type="dxa"/>
          <w:left w:w="28" w:type="dxa"/>
          <w:bottom w:w="28" w:type="dxa"/>
          <w:right w:w="28" w:type="dxa"/>
        </w:tblCellMar>
      </w:tblPr>
      <w:tblGrid>
        <w:gridCol w:w="124"/>
        <w:gridCol w:w="256"/>
        <w:gridCol w:w="33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 warning letters or untitled letters;</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an injunction or impose civil or criminal penalties or monetary fines;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withdraw regulatory approval;</w:t>
            </w:r>
          </w:p>
        </w:tc>
      </w:tr>
    </w:tbl>
    <w:tbl>
      <w:tblPr>
        <w:tblW w:w="3441" w:type="dxa"/>
        <w:jc w:val="left"/>
        <w:tblInd w:w="0" w:type="dxa"/>
        <w:tblLayout w:type="fixed"/>
        <w:tblCellMar>
          <w:top w:w="28" w:type="dxa"/>
          <w:left w:w="28" w:type="dxa"/>
          <w:bottom w:w="28" w:type="dxa"/>
          <w:right w:w="28" w:type="dxa"/>
        </w:tblCellMar>
      </w:tblPr>
      <w:tblGrid>
        <w:gridCol w:w="124"/>
        <w:gridCol w:w="256"/>
        <w:gridCol w:w="3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any ongoing clinical trials;</w:t>
            </w:r>
          </w:p>
        </w:tc>
      </w:tr>
    </w:tbl>
    <w:tbl>
      <w:tblPr>
        <w:tblW w:w="7191" w:type="dxa"/>
        <w:jc w:val="left"/>
        <w:tblInd w:w="0" w:type="dxa"/>
        <w:tblLayout w:type="fixed"/>
        <w:tblCellMar>
          <w:top w:w="28" w:type="dxa"/>
          <w:left w:w="28" w:type="dxa"/>
          <w:bottom w:w="28" w:type="dxa"/>
          <w:right w:w="28" w:type="dxa"/>
        </w:tblCellMar>
      </w:tblPr>
      <w:tblGrid>
        <w:gridCol w:w="124"/>
        <w:gridCol w:w="256"/>
        <w:gridCol w:w="6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refuse to approve pending applications or supplements or applications filed by us;</w:t>
            </w:r>
          </w:p>
        </w:tc>
      </w:tr>
    </w:tbl>
    <w:tbl>
      <w:tblPr>
        <w:tblW w:w="8526" w:type="dxa"/>
        <w:jc w:val="left"/>
        <w:tblInd w:w="0" w:type="dxa"/>
        <w:tblLayout w:type="fixed"/>
        <w:tblCellMar>
          <w:top w:w="28" w:type="dxa"/>
          <w:left w:w="28" w:type="dxa"/>
          <w:bottom w:w="28" w:type="dxa"/>
          <w:right w:w="28" w:type="dxa"/>
        </w:tblCellMar>
      </w:tblPr>
      <w:tblGrid>
        <w:gridCol w:w="124"/>
        <w:gridCol w:w="256"/>
        <w:gridCol w:w="8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suspend or impose restrictions on operations, including costly new manufacturing requirements; or</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801" w:type="dxa"/>
        <w:jc w:val="left"/>
        <w:tblInd w:w="0" w:type="dxa"/>
        <w:tblLayout w:type="fixed"/>
        <w:tblCellMar>
          <w:top w:w="28" w:type="dxa"/>
          <w:left w:w="28" w:type="dxa"/>
          <w:bottom w:w="28" w:type="dxa"/>
          <w:right w:w="28" w:type="dxa"/>
        </w:tblCellMar>
      </w:tblPr>
      <w:tblGrid>
        <w:gridCol w:w="124"/>
        <w:gridCol w:w="256"/>
        <w:gridCol w:w="94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seize or detain products, refuse to permit the import or export of product or request that we initiate a product recall.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occurrence of any event or penalty described above may inhibit our ability to commercialize our product candidates and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FDA has the authority to require a risk evaluation and mitigation strategy (“REMS”) as part of an NDA or BLA or after approval, which may impose further requirements or restrictions on the distribution or use of an approved drug, such as limiting prescribing to certain physicians or medical centers that have undergone specialized training, limiting treatment to patients who meet certain safe-use criteria and requiring treated patients to enroll in a registry. Similar risks exist in foreign jurisdictions.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if soquelitinib, ciforadenant and mupadolimab or any of our other product candidates is approved, our product labeling, advertising and promotion will be subject to regulatory requirements and continuing regulatory review. The FDA and foreign regulatory authorities strictly regulate the promotional claims that may be made about prescription products. In particular, a product may not be promoted for uses that are not approved by the FDA or foreign regulatory authorities as reflected in the product’s approved labeling. If we receive marketing approval for a product candidate, physicians may nevertheless prescribe it to their patients in a manner that is inconsistent with the approved label. If we are found to have promoted such off-label uses, we may become subject to significant liability. The FDA and other agencies actively enforce the laws and regulations prohibiting the promotion of off-label uses, and a company that is found to have improperly promoted off-label uses may be subject to significant sanctions.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FDA’s and other regulatory authorities’ policies may change and additional government regulations may be enacted that could prevent, limit or delay regulatory approval of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also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Disruptions at the FDA and other government agencies caused by funding shortages, staff reductions or policy changes could hinder their ability to hire, retain or deploy key leadership and other personnel, or otherwise prevent new or modified products from being developed, approved or commercialized in a timely manner or at all, which could negatively impact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ability of the FDA and foreign regulatory authorities to review and/or approve new products can be affected by a variety of factors, including government budget and funding levels, staff reductions,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Disruptions at the FDA and other agencies may also slow the time necessary for new drugs and biologics or modifications to approved drugs or biologics to be reviewed and/or approved by necessary government agencies, which would adversely affect our business. For example, in recent years, the U.S. government has shut down several times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certain regulatory agencies, such as the FDA, have had to furlough critical FDA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 prolonged government shutdown occurs, or if funding shortages, staffing reductions or policy changes prevent the FDA or other regulatory authorities from conducting their regular inspections, reviews, or other regulatory activities, such events could significantly impact the ability of the FDA or other regulatory authorities to timely review and process our regulatory submissions,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Even if we receive regulatory approval we still may not be able to successfully commercialize soquelitinib, ciforadenant and mupadolimab or any other product candidate, and the revenue that we generate from sales, if any, could be limited.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soquelitinib, ciforadenant and mupadolimab or any of our other product candidates receive regulatory approval, they may not gain market acceptance among physicians, patients, healthcare payors or the medical community. The degree of market acceptance of our product candidates will depend on a number of factors, including:</w:t>
      </w:r>
    </w:p>
    <w:tbl>
      <w:tblPr>
        <w:tblW w:w="7881" w:type="dxa"/>
        <w:jc w:val="left"/>
        <w:tblInd w:w="0" w:type="dxa"/>
        <w:tblLayout w:type="fixed"/>
        <w:tblCellMar>
          <w:top w:w="28" w:type="dxa"/>
          <w:left w:w="28" w:type="dxa"/>
          <w:bottom w:w="28" w:type="dxa"/>
          <w:right w:w="28" w:type="dxa"/>
        </w:tblCellMar>
      </w:tblPr>
      <w:tblGrid>
        <w:gridCol w:w="124"/>
        <w:gridCol w:w="256"/>
        <w:gridCol w:w="7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demonstration of clinical efficacy and safety compared to other more-established products;</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indications for which our product candidates are approved;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our targeted patient population and other limitations or warnings contained in any FDA-approved labeling;</w:t>
            </w:r>
          </w:p>
        </w:tc>
      </w:tr>
    </w:tbl>
    <w:tbl>
      <w:tblPr>
        <w:tblW w:w="6621" w:type="dxa"/>
        <w:jc w:val="left"/>
        <w:tblInd w:w="0" w:type="dxa"/>
        <w:tblLayout w:type="fixed"/>
        <w:tblCellMar>
          <w:top w:w="28" w:type="dxa"/>
          <w:left w:w="28" w:type="dxa"/>
          <w:bottom w:w="28" w:type="dxa"/>
          <w:right w:w="28" w:type="dxa"/>
        </w:tblCellMar>
      </w:tblPr>
      <w:tblGrid>
        <w:gridCol w:w="124"/>
        <w:gridCol w:w="256"/>
        <w:gridCol w:w="6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a new formulation by healthcare providers and their patients;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sufficient third-party coverage and reimbursement from government healthcare programs, including Medicare and Medicaid, private health insurers and other third-party payors;</w:t>
            </w:r>
          </w:p>
        </w:tc>
      </w:tr>
    </w:tbl>
    <w:tbl>
      <w:tblPr>
        <w:tblW w:w="9126" w:type="dxa"/>
        <w:jc w:val="left"/>
        <w:tblInd w:w="0" w:type="dxa"/>
        <w:tblLayout w:type="fixed"/>
        <w:tblCellMar>
          <w:top w:w="28" w:type="dxa"/>
          <w:left w:w="28" w:type="dxa"/>
          <w:bottom w:w="28" w:type="dxa"/>
          <w:right w:w="28" w:type="dxa"/>
        </w:tblCellMar>
      </w:tblPr>
      <w:tblGrid>
        <w:gridCol w:w="124"/>
        <w:gridCol w:w="256"/>
        <w:gridCol w:w="87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willingness of patients to pay out-of-pocket in the absence of third-party coverage and reimbursement;</w:t>
            </w:r>
          </w:p>
        </w:tc>
      </w:tr>
    </w:tbl>
    <w:tbl>
      <w:tblPr>
        <w:tblW w:w="4596" w:type="dxa"/>
        <w:jc w:val="left"/>
        <w:tblInd w:w="0" w:type="dxa"/>
        <w:tblLayout w:type="fixed"/>
        <w:tblCellMar>
          <w:top w:w="28" w:type="dxa"/>
          <w:left w:w="28" w:type="dxa"/>
          <w:bottom w:w="28" w:type="dxa"/>
          <w:right w:w="28" w:type="dxa"/>
        </w:tblCellMar>
      </w:tblPr>
      <w:tblGrid>
        <w:gridCol w:w="124"/>
        <w:gridCol w:w="256"/>
        <w:gridCol w:w="42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prevalence and severity of any adverse effects;</w:t>
            </w:r>
          </w:p>
        </w:tc>
      </w:tr>
    </w:tbl>
    <w:tbl>
      <w:tblPr>
        <w:tblW w:w="3006" w:type="dxa"/>
        <w:jc w:val="left"/>
        <w:tblInd w:w="0" w:type="dxa"/>
        <w:tblLayout w:type="fixed"/>
        <w:tblCellMar>
          <w:top w:w="28" w:type="dxa"/>
          <w:left w:w="28" w:type="dxa"/>
          <w:bottom w:w="28" w:type="dxa"/>
          <w:right w:w="28" w:type="dxa"/>
        </w:tblCellMar>
      </w:tblPr>
      <w:tblGrid>
        <w:gridCol w:w="124"/>
        <w:gridCol w:w="256"/>
        <w:gridCol w:w="2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pricing and cost-effectiveness;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of market introduction of our product candidates as well as competitive drugs;</w:t>
            </w:r>
          </w:p>
        </w:tc>
      </w:tr>
    </w:tbl>
    <w:tbl>
      <w:tblPr>
        <w:tblW w:w="9741" w:type="dxa"/>
        <w:jc w:val="left"/>
        <w:tblInd w:w="0" w:type="dxa"/>
        <w:tblLayout w:type="fixed"/>
        <w:tblCellMar>
          <w:top w:w="28" w:type="dxa"/>
          <w:left w:w="28" w:type="dxa"/>
          <w:bottom w:w="28" w:type="dxa"/>
          <w:right w:w="28" w:type="dxa"/>
        </w:tblCellMar>
      </w:tblPr>
      <w:tblGrid>
        <w:gridCol w:w="124"/>
        <w:gridCol w:w="256"/>
        <w:gridCol w:w="9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our or any of our existing or potential future collaborators’ sales and marketing strategies; and</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unfavorable publicity relating to the product candidate.</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any product candidate is approved but does not achieve an adequate level of acceptance by physicians, hospitals, healthcare payors or patients, we may not generate sufficient revenue from that product candidate and may not become or remain profitable. Our efforts to educate the medical community and third-party payors regarding the benefits of soquelitinib, ciforadenant and mupadolimab or any of our other product candidates may require significant resources and may never be successful.</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Failure to obtain or maintain adequate coverage and reimbursement for our product candidates, if approved, could limit our ability to market those products and decrease our ability to generate revenue.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Successful commercial sales of any approved products will depend on the availability of adequate coverage and reimbursement from government health administration authorities, private health insurers and other third-party payors. Each third-party payor separately decides which products it will cover and establishes the reimbursement level, and there is no guarantee that any of our product candidates that may be approved for marketing by regulatory authorities will receive adequate coverage or reimbursement levels. Obtaining and maintaining coverage approval for a product candidate is time-consuming, costly and may be difficult. We may be required to conduct expensive pharmacoeconomic studies to justify coverage and reimbursement or the level of coverage and reimbursement relative to other therapies. If coverage and adequate reimbursement are not available or limited, we may not be able to successfully commercialize any product candidate for which we obtain marketing approval.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drugs and biologics. Even if we obtain coverage for a given product, the resulting reimbursement rates may be inadequate and may affect the demand for, or the price of, any product candidate for which we obtain marketing approval.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Recently enacted legislation, future legislation and healthcare reform measures may increase the difficulty and cost for us to obtain marketing approval for and commercialize our product candidates and affect the prices we may obtain.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and some foreign jurisdictions, there have been, and we expect there will continue to be, a number of legislative and regulatory changes to the healthcare system, including cost-containment measures that may reduce or limit coverage and reimbursement for newly approved drugs and biologics and affect our ability to profitably sell any product candidates for which we obtain marketing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For example, in March 2010, the Patient Protection and Affordable Care Act, as amended by the Health Care and Education Reconciliation Act (collectively referred to as the “ACA”), was enacted with a goal of reducing the cost of healthcare and substantially changing the way healthcare is financed by both governmental and private insurers.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extended the rebate program to individuals enrolled in Medicaid managed care organizations; established annual fees and taxes on manufacturers of certain prescription drugs; and established a new Patient-Centered Outcomes Research Institute to oversee, identify priorities and conduct comparative clinical effectiveness research, along with funding for such research.</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Other legislative changes have been proposed and adopted in the U.S. since the ACA was enacted. On March 11, 2021, the American Rescue Plan Act of 2021 was signed into law, which eliminated the statutory Medicaid drug rebate cap, beginning January 1, 2024. The rebate was previously capped at 100% of a drug’s average manufacturer price (“AMP”). On August 16, 2022, the Inflation Reduction Act of 2022 (“IRA”) was signed into law. Among other things, the IRA requires manufacturers of certain drugs to engage in price negotiations with Medicare, with prices that can be negotiated subject to a cap;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HHS has issued and will continue to issue guidance implementing the IRA. CMS has published the negotiated prices for the initial ten drugs, which went into effect in 2026, and the subsequent 15 drugs, which will first be effective in 2027, as well as the next set of 15 drugs that will be subject to negotiation, although the Medicare drug price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negotiation program is currently subject to legal challenges. While the impact of the IRA on the pharmaceutical industry cannot yet be fully determined, it is likely to be significant.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One Big Beautiful Bill Act, which was enacted in July 2025, imposes significant reductions in the funding of the Medicaid program. Such reductions are expected to decrease the number of persons enrolled in Medicaid and reduce the services covered by Medicaid, which could adversely affect our sales of any product candidate that we may commercialize.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Trump administration is pursuing a two-fold strategy to reduce drug costs in the U.S. President Trump has threatened to impose significant tariffs on pharmaceutical manufacturers that do not adopt pricing policies such as most favored nation pricing, which would tie the price for drugs in the U.S. to the lowest price in a group of other countries. In response, multiple manufacturers entered into confidential pricing agreements with the federal government. In April 2026, the Trump administration issued a proclamation imposing tariffs on imports of patented pharmaceuticals, biologics and associated ingredients into the U.S., beginning July 31, 2026. Any manufacturers that entered into a company-specific agreement with the government prior to the proclamation will not be subject to any additional tariffs until January 20, 2029. The Trump administration is also pursuing traditional regulatory pathways to impose drug pricing policies, and published two proposed regulations in December 2025, referred to as Globe and Guard. If finalized, these regulations would implement mandatory payment models under which manufacturers of eligible drugs would be required to pay rebates to the federal government on a portion of the units of their drugs that are reimbursed by Medicare, with the rebate amount based on most favored nation pricing. While the impact of the Globe and Guard proposed regulations, if finalized, cannot yet be determined, it is likely to be significant. Even proposals or executive actions that are ultimately deemed unlawful could negatively impact the U.S. pharmaceutical sector and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drug price reporting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expect that these new laws and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if approved.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EU, similar political, economic and regulatory developments may affect our ability to profitably commercialize our product candidates, if approved. In addition to continuing pressure on prices and cost containment measures, legislative developments at the EU or member state level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our product candidates, if approved. In markets outside of the United States and EU, reimbursement and healthcare payment systems vary significantly by country, and many countries have instituted price ceilings on specific products and therapies. Further, EU pharmaceutical legislation is currently undergoing a complete review process, with proposed revisions not expected to become applicable prior to the end of 2027. These revisions may have a significant impact on the pharmaceutical industry and our business in the long term.</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and ethical) aspects of health technology, and making decisions on pricing and reimbursement.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cannot predict the likelihood, nature or extent of government regulation that may arise from future legislation or administrative action in the United States, the EU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Any product candidates for which we intend to seek approval as biologic products may face competition sooner than anticipated.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twelve years from the date on which the reference product was first licensed. During this twelve-year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Mupadolimab, which we evaluated in a Phase 1/1b oncology clinical trial is regulated by the FDA as a biological product. We believe that mupadolimab and any of our future product candidates, if approved as a biological product under a BLA, should qualify for the twelve-year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Jurisdictions in addition to the United States have established abbreviated pathways for regulatory approval of biological products that are biosimilar to earlier approved reference products. For example, the EU has had an established regulatory pathway for biosimilars since 2006. Moreover, the extent to which a biosimilar, once approved, could be substituted for any one of our reference products in a way that is similar to traditional generic substitution for non-biological products will depend on a number of marketplace factors.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obtain orphan drug designations from the FDA for our product candidates, and even if we obtain such designations, we may be unable to maintain the benefits associated with orphan drug designation, including the potential for market exclusivity.</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Under the Orphan Drug Act, the FDA may grant orphan drug designation to a drug or biologic intended to treat a rare disease or condition, which is defined as one occurring in a patient population of fewer than 200,000 in the United States, or a patient population greater than 200,000 in the United States where there is no reasonable expectation that the cost of developing the drug or biologic will be recovered from sales in the United States. In the United States, orphan drug designation entitles a party to financial incentives such as opportunities for grant funding towards clinical trial costs, tax advantages and user-fee waivers. In addition, if a product that has orphan drug designation subsequently receives the first FDA approval for the disease or condition for which it has such designation, the product is entitled to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orphan drug exclusivity, which means that the FDA may not approve any other applications, including a full NDA or BLA, to market the same drug or biologic for the same approved indication or use within such disease or condition for seven years, except in limited circumstances, such as a showing of clinical superiority to the product with orphan drug exclusivity in the relevant indication or where the manufacturer is unable to assure sufficient product quantity to meet the needs relating to the approved indication or use of patients with the relevant disease or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February 7, 2024, the FDA granted orphan drug designation for soquelitinib for the treatment of T cell lymphoma. We also believe many of the targeted indications of our other product candidates could qualify for orphan drug designation. As a result, we may seek to obtain additional orphan drug designations in the future. Even if we obtain such designations, we may not be the first to obtain marketing approval of our product candidate for the orphan-designated disease or condition due to the uncertainties associated with developing pharmaceutical products. In addition, exclusive marketing rights in the United States may be limited if we seek approval for a disease or condition broader than the orphan-designated disease or condition or may be lost if the FDA later determines that the request for designation was materially defective or if the manufacturer is unable to assure sufficient quantities of the product to meet the needs relating to the approved indication or use of patients with the rare disease or condition. Further, even if we obtain orphan drug exclusivity for a product, that exclusivity may not effectively protect the product from competition because different drugs can be approved for the same indications and uses. Even after an orphan product is approved, the FDA can subsequently approve the “same drug,” as defined by the FDA, for the same indication or use if the FDA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may seek orphan drug designation for our other product candidates, we may never receive such designations.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expend our limited resources to pursue a particular product candidate and fail to capitalize on product candidates that may be more profitable or for which there is a greater likelihood of success.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Because we have limited financial and managerial resources, we are currently focusing on soquelitinib and ciforadenant. As a result, we may forgo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form additional strategic alliances and collaborative partnerships in the future, and we may not realize the benefits of such alliances.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form strategic alliances, create joint ventures or collaborations or enter into licensing arrangements with third parties that we believe will complement or augment our existing business, including for the continued development or commercialization of our product candidates. These relationships may result in or include non-recurring and other charges, increased near- and long-term expenditures, the issuance of securities that dilute our existing stockholders or disruptions to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third parties may view the risk of failure in future clinical trials as too significant or the commercial opportunity for our product candidates as too limited. We cannot be certain that, following a strategic transaction or license, we will achieve the revenue or specific net income that justifies such transaction.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Even if we are successful in our efforts to establish strategic alliances or collaborative partnerships, the terms that we agree upon may not be favorable to us, and we may not be able to maintain such strategic alliances or collaborative partnerships if, for example, development or approval of a product candidate is delayed, the safety of a product candidate is questioned or sales of an approved product candidate are unsatisfactory. In addition, any existing or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potential future strategic alliances or collaborative partnerships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strategic alliances or collaborative partnerships we enter into in the future, or any delay in entering into collaborative partnership agreements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October 2020, we formed Angel Pharmaceuticals with a group of investors in China to create a new China-based biopharmaceutical company with a mission to bring innovative quality medicines to Chinese patients for treatment of serious diseases including cancer, autoimmune diseases and infectious diseases. We granted Angel Pharmaceuticals a license to rights to develop and commercialize our three clinical-stage candidates – soquelitinib, ciforadenant and mupadolimab – in greater China and obtained global rights to our BTK inhibitor preclinical programs. While certain of our executive officers and directors will initially be on the board of directors of Angel Pharmaceuticals, we have limited control over it and so we will be subject to many of the same risks set forth above with respect to all collaborations. Additionally, any actions taken by the Chinese government to implement trade policy changes, financial restrictions, or increased regulatory scrutiny on U.S. companies could negatively impact Angel Pharmaceuticals. For instance, China has previously taken or threatened to take trade and other actions in retaliation against U.S. policies, and is likely to continue to do so. Past or future developments in this regard may have a material adverse effect on the economies, financial markets, and currency exchange rates in China and the United States. Tensions between the United States and China have increased over the past few years as a result of disputes in areas including trade policy, intellectual property, cybersecurity and data privacy, due to the current U.S. Presidential Administration’s imposition of tariffs and other trade controls, as well as due to geopolitical conflicts such as the war between Ukraine and Russia and conflicts or tensions in the Middle East and Venezuela. Our interests in Angel Pharmaceuticals could be harmed if relations between the United States and China worsen or if either government imposes additional policies, tariffs or sanctions and our business could encounter increased regulatory scrutiny in China, as well as adverse media or public attention in China, as a result of the deteriorating bilateral relationship.</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Angel Pharmaceuticals will also be subject to many of the same risks that are set forth in this “Risk Factors” section pertaining to operations, government regulation, and intellectual property, which may adversely affect Angel Pharmaceuticals’ ability to develop and commercialize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face competition from entities that have developed or may develop product candidates for cancer and immune diseases,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attempt to develop product candidates. In particular, there is intense and rapidly evolving competition in the immunology therapeutics field. Our competitors include larger and better funded pharmaceutical, biopharmaceutical, biotechnological and therapeutics companies. Moreover, we also compete with universities and other research institutions that may be active in oncology research and could be in direct competition with us. We also compete with these organizations to recruit management, scientists and clinical development personnel, which could negatively affect our level of expertise and our ability to execute our business plan. We will also face competition in establishing clinical trial sites, registering subjects for clinical trials and in identifying and in-licensing new product candidates. Smaller or early-stage companies may also prove to be significant competitors, particularly through collaborative arrangements with large and established companies.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oncology, there are large pharmaceutical companies with approved products or products in late-stage development that target kinases and immune checkpoints. There is also intense competition in the areas of inflammation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and autoimmune diseases. Several drugs and biologics have been approved or are in late stage development for treatment of atopic dermatitis and other inflammatory diseases.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obsolete or noncompetitive before we recover the expense of developing and commercializing our product candidates.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market opportunities for our product candidates may be limited to those patients who are ineligible for or have failed prior treatments and may be small.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Cancer therapies are sometimes characterized as first-line, second-line or third-line, which refers to the number of prior therapies required to be used prior to administration of the relevant therapy, and the FDA commonly approves new therapies initially for later-line uses. When cancer is detected early enough, first line therapy is sometimes adequate to cure the cancer or prolong life without a cure. Whenever first-line therapy, usually chemotherapy, hormone therapy, surgery or a combination of these, proves unsuccessful, second-line therapy may be administered. Second-line therapies often consist of more chemotherapy, radiation, antibody drugs, tumor targeted small molecules or a combination of these. Third-line therapies can include bone marrow transplantation, antibody and small molecule targeted therapies, more invasive forms of surgery and new technologies. In markets with approved therapies, we expect to initially seek approval of our product candidates as a later stage therapy for patients who have failed other approved treatments. Subsequently, for those drugs that prove to be sufficiently beneficial, if any, we would expect to seek approval as a second-line therapy and potentially as a first-line therapy, but there is no guarantee that our product candidates, even if approved, would be approved for second-line or first-line therapy. In addition, we may have to conduct additional clinical trials prior to gaining approval for second-line or first-line therapy. Similarly, products to treat immune diseases may be indicated for early stage or more advanced recurrent diseases. In dermatology, treatments may be administered by topical or systemic routes. Our products may require additional clinical trials to gain approval for these additional indications.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projections of both the number of people who have the cancers and immune diseases that we are targeting, are based on our beliefs and estimates. These estimates have been derived from a variety of sources, including scientific literature, surveys of clinics, patient foundations or market research and may prove to be incorrect. Further, new studies may change the estimated incidence or prevalence of these diseases. The number of patients may turn out to be lower than expected. In addition, the potentially addressable patient population for our product candidates may be limited or may not be amenable to treatment with our product candidates. Even if we obtain significant market share for our product candidates, we may never achieve profitability without obtaining regulatory approval for additional indications, including use as a first or second-line therapy.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have no sales, marketing or distribution capabilities, and we may have to invest significant resources to develop these capabilities.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no internal sales, marketing or distribution capabilities. If soquelitinib, ciforadenant and mupadolimab or any of our other product candidates ultimately receives regulatory approval, we may not be able to effectively market and distribute the product candidate. We may have to seek collaborators or invest significant amounts of financial and management resources to develop internal sales, distribution and marketing capabilities, some of which will be committed prior to any confirmation that soquelitinib, ciforadenant and mupadolimab or any of our other product candidates will be approved, if at all. We may not be able to enter into collaborations or hire consultants or external service providers to assist us in sales, marketing and distribution functions on acceptable financial terms or at all. Even if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we determine to perform sales, marketing and distribution functions ourselves, we could face a number of additional related risks, including:</w:t>
      </w:r>
    </w:p>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attract and build an effective marketing department or sales force;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establishing a marketing department or sales force may exceed our available financial resources and the revenue generated by soquelitinib, ciforadenant and mupadolimab or any other product candidates that we may develop, in-license or acquire; and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 sales and marketing efforts may not be successful.</w:t>
            </w:r>
          </w:p>
        </w:tc>
      </w:tr>
    </w:tbl>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Governments may impose price controls, which may adversely affect our future profitability.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intend to seek approval to market our product candidates in both the United States and in foreign jurisdictions. In some foreign countries, particularly in the EU, the pricing of prescription pharmaceuticals is subject to governmental control. In these countries, pricing negotiations with governmental authorities can take considerable time after the receipt of marketing approval for a product candidate. To obtain reimbursement or pricing approval in some countries, we may be required to conduct clinical trials to compare the cost-effectiveness of our product candidates to other available therapies, which is time-consuming and costly. If reimbursement of our future products is unavailable or limited in scope or amount, or if pricing is set at unsatisfactory levels, we may be unable to achieve or sustain profitability.</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Business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results of operations may fluctuate significantly, which makes our future results of operations difficult to predict and could cause our results of operations to fall below expectations or any guidance we may provide.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quarterly and annual results of operations may fluctuate significantly, which makes it difficult for us to predict our future results of operations. These fluctuations may occur due to a variety of factors, many of which are outside of our control, including, but not limited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cost of, and level of investment in, research, development and commercialization activities relating to our product candidates, which may change from time to time;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coverage and reimbursement policies with respect to our product candidates, if approved, and potential future drugs that compete with our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 of manufacturing our product candidates, which may vary depending on the quantity of production and the terms of our agreements with manufacturers;</w:t>
            </w:r>
          </w:p>
        </w:tc>
      </w:tr>
    </w:tbl>
    <w:tbl>
      <w:tblPr>
        <w:tblW w:w="10086" w:type="dxa"/>
        <w:jc w:val="left"/>
        <w:tblInd w:w="0" w:type="dxa"/>
        <w:tblLayout w:type="fixed"/>
        <w:tblCellMar>
          <w:top w:w="28" w:type="dxa"/>
          <w:left w:w="28" w:type="dxa"/>
          <w:bottom w:w="28" w:type="dxa"/>
          <w:right w:w="28" w:type="dxa"/>
        </w:tblCellMar>
      </w:tblPr>
      <w:tblGrid>
        <w:gridCol w:w="124"/>
        <w:gridCol w:w="256"/>
        <w:gridCol w:w="97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expenditures that we may incur to acquire, develop or commercialize additional product candidates and technologies;</w:t>
            </w:r>
          </w:p>
        </w:tc>
      </w:tr>
    </w:tbl>
    <w:tbl>
      <w:tblPr>
        <w:tblW w:w="7461" w:type="dxa"/>
        <w:jc w:val="left"/>
        <w:tblInd w:w="0" w:type="dxa"/>
        <w:tblLayout w:type="fixed"/>
        <w:tblCellMar>
          <w:top w:w="28" w:type="dxa"/>
          <w:left w:w="28" w:type="dxa"/>
          <w:bottom w:w="28" w:type="dxa"/>
          <w:right w:w="28" w:type="dxa"/>
        </w:tblCellMar>
      </w:tblPr>
      <w:tblGrid>
        <w:gridCol w:w="124"/>
        <w:gridCol w:w="256"/>
        <w:gridCol w:w="7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level of demand for any approved products (if any), which may vary significantly;</w:t>
            </w:r>
          </w:p>
        </w:tc>
      </w:tr>
    </w:tbl>
    <w:tbl>
      <w:tblPr>
        <w:tblW w:w="7011" w:type="dxa"/>
        <w:jc w:val="left"/>
        <w:tblInd w:w="0" w:type="dxa"/>
        <w:tblLayout w:type="fixed"/>
        <w:tblCellMar>
          <w:top w:w="28" w:type="dxa"/>
          <w:left w:w="28" w:type="dxa"/>
          <w:bottom w:w="28" w:type="dxa"/>
          <w:right w:w="28" w:type="dxa"/>
        </w:tblCellMar>
      </w:tblPr>
      <w:tblGrid>
        <w:gridCol w:w="124"/>
        <w:gridCol w:w="256"/>
        <w:gridCol w:w="6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conditions such as increased interest and inflationary pressures;</w:t>
            </w:r>
          </w:p>
        </w:tc>
      </w:tr>
    </w:tbl>
    <w:tbl>
      <w:tblPr>
        <w:tblW w:w="6861" w:type="dxa"/>
        <w:jc w:val="left"/>
        <w:tblInd w:w="0" w:type="dxa"/>
        <w:tblLayout w:type="fixed"/>
        <w:tblCellMar>
          <w:top w:w="28" w:type="dxa"/>
          <w:left w:w="28" w:type="dxa"/>
          <w:bottom w:w="28" w:type="dxa"/>
          <w:right w:w="28" w:type="dxa"/>
        </w:tblCellMar>
      </w:tblPr>
      <w:tblGrid>
        <w:gridCol w:w="124"/>
        <w:gridCol w:w="256"/>
        <w:gridCol w:w="6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accounting pronouncements or changes in our accounting policies;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success or failure of clinical trials for our product candidates or competing product candidates, or any other change in the competitive landscape of our industry, including consolidation among our competitors or partners.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cumulative effects of these factors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This variability and unpredictability could also result in our failing to meet the expectations of industry or financial analysts or investors for any period. If our revenue or results of operations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dependent on the services of our President and Chief Executive Officer, Richard A. Miller, M.D., and other key executives, and if we are not able to retain these members of our management or recruit additional management, clinical and scientific personnel, our business will suffer.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dependent on the principal members of our management and scientific staff. The loss of service of any of our management could harm our business. In addition, we are dependent on our continued ability to attract, retain and motivate highly qualified management, clinical and scientific personnel. If we are not able to retain our management, particularly our President and Chief Executive Officer, Dr. Miller, and to attract, on acceptable terms, additional qualified personnel necessary for the continued development of our business, we may not be able to sustain our operations or grow. Although we have executed employment agreements with each member of our current executive management team, including Dr. Miller, these agreements are terminable at will with or without notice and, therefore, we may not be able to retain their services as expected.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expand and effectively manage our managerial, operational, financial and other resources in order to successfully pursue our clinical development and commercialization efforts. We may not be able to attract or retain qualified management and scientific and clinical personnel in the future due to the intense competition for qualified personnel among pharmaceutical, biotechnology and other businesses, particularly in the San Francisco Bay Area. Our industry has experienced a high rate of turnover of management personnel in recent years. If we are not able to attract, integrate, retain and motivate necessary personnel to accomplish our business objectives, we may experience constraints that will significantly impede the achievement of our development objectives, our ability to raise additional capital and our ability to implement our business strategy.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we do not currently maintain “key person” life insurance on the lives of our executives or any of our employees. This lack of insurance means that we may not have adequate compensation for the loss of the services of these individuals.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encounter difficulties in managing our growth and expanding our operations successfully.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will need to grow our organization substantially to continue development and pursue the potential commercialization of soquelitinib, ciforadenant and mupadolimab and our other product candidates. As we seek to advance soquelitinib, ciforadenant and mupadolimab and other product candidates, we will need to expand our financial,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Our future financial performance and our ability to commercialize our product candidates and to compete effectively will depend, in part, on our ability to manage any future growth effectively.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are subject to various federal and state healthcare laws and regulations, and our failure to comply with these laws and regulations could harm our results of operations and financial condition.</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we do not currently have any products on the market, if we obtain FDA or foreign approval for any of our product candidates and begin commercializing those products in the United States or abroad, our operations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directly, or indirectly through our customers and third-party payors, subject to various U.S. federal, state and foreign healthcare laws and regulations. These laws will affect our operations, sales and marketing practices, and our relationships with physicians and other customers and third-party payors. Such laws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Anti-Kickback Statute, which prohibits, among other things, persons or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or services resulting from a violation of the federal Anti-Kickback Statute constitutes a false or fraudulent claim for purposes of the federal False Claims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Health Insurance Portability and Accountability Act of 1996 (“HIPAA”), which imposes criminal and civil liability for executing a scheme to defraud any healthcare benefit program or making false statements relating to healthcare matters. Similar to the federal Anti-Kickback Statute, a person or entity does not need to have actual knowledge of the statute or specific intent to violate it to have committed a violation;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federal Physician Payment Sunshine Act, which requires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non-physician practitioners (physician assistants, nurse practitioners, clinical nurse specialists, certified registered nurse anesthetists, anesthesiology assistants and certified nurse midwives) and teaching hospitals, and requires applicable manufacturers and group purchasing organizations to report annually to the government ownership and investment interests held by the physicians described above and their immediate family members. Manufacturers are required to submit reports to the government by the 90th day of each calendar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and state laws that require drug manufacturers to report information related to payments and other transfers of value to physicians and other healthcare providers or marketing expenditures and pricing information.</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Ensuring that our internal operations and business arrangements with third-parties comply with applicable healthcare laws and regulations could involve substantial costs. If our operations are found to be in violation of such laws or any other governmental laws and regulations that may apply to us, we may be subject to significant penalties, including civil, criminal and administrative penalties, damages, fines, exclusion from U.S. government funded healthcare programs, such as Medicare and Medicaid, disgorgement, individual imprisonment, contractual damages, reputational harm, diminished profits and the curtailment or restructuring of our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our current and any existing or future collaborators, third-party manufacturers and suppliers will or may use biological materials and may use hazardous materials, and any claims relating to improper handling, storage or disposal of these materials could be time consuming or costly.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our current and any existing or future collaborators, third-party manufacturers or suppliers will or may use biological materials and may use hazardous materials, including chemicals and biological agents and compounds that could be dangerous to human health and safety of the environment. Our operations and the operations of our third-party manufacturers and suppliers also produce hazardous waste products. Federal, state and local laws and regulations govern the use, generation, manufacture, storage, handling and disposal of these materials and wastes. Compliance with applicable environmental laws and regulations may be expensive, and current or future environmental laws and regulations may impair our product development efforts. In addition, we cannot eliminate the risk of accidental injury or contamination from these materials or wastes. We do not carry specific biological or hazardous waste insurance coverage, and our property, casualty and general liability insurance policies specifically exclude coverage for damages and fines arising from biological or hazardous waste exposure or contamination. In the event of contamination or injury, we could be held liable for damages or be penalized with fines in an amount exceeding our resources, and our clinical trials or regulatory approvals could be suspended.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product liability lawsuits are brought against us, we may incur substantial liabilities and may be required to limit commercialization of soquelitinib, ciforadenant and mupadolimab or our other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face an inherent risk of product liability as a result of the clinical testing of soquelitinib, ciforadenant and mupadolimab, and the planned clinical testing of our other product candidates and will face an even greater risk if we commercialize our product candidates. For example, we may be sued if soquelitinib, ciforadenant and mupadolimab or our other product candidates allegedly cause injury or are found to be otherwise unsuitable during product testing, manufacturing, marketing or sale. Any such product liability claims may include allegations of defects in manufacturing, defects in design, a failure to warn of dangers inherent in the product candidate, negligence, strict liability and a breach of warranties. Claims could also be asserted under state consumer protection acts.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cannot successfully defend ourselves against product liability claims, we may incur substantial liabilities or be required to limit or cease the commercialization of our product candidates. Even a successful defense would require significant financial and management resources. Regardless of the merits or eventual outcome, liability claims may result in:</w:t>
      </w:r>
    </w:p>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decreased demand for soquelitinib, ciforadenant and mupadolimab or our other product candidates;</w:t>
            </w:r>
          </w:p>
        </w:tc>
      </w:tr>
    </w:tbl>
    <w:tbl>
      <w:tblPr>
        <w:tblW w:w="2496" w:type="dxa"/>
        <w:jc w:val="left"/>
        <w:tblInd w:w="0" w:type="dxa"/>
        <w:tblLayout w:type="fixed"/>
        <w:tblCellMar>
          <w:top w:w="28" w:type="dxa"/>
          <w:left w:w="28" w:type="dxa"/>
          <w:bottom w:w="28" w:type="dxa"/>
          <w:right w:w="28" w:type="dxa"/>
        </w:tblCellMar>
      </w:tblPr>
      <w:tblGrid>
        <w:gridCol w:w="124"/>
        <w:gridCol w:w="256"/>
        <w:gridCol w:w="2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injury to our reputation;</w:t>
            </w:r>
          </w:p>
        </w:tc>
      </w:tr>
    </w:tbl>
    <w:tbl>
      <w:tblPr>
        <w:tblW w:w="3741" w:type="dxa"/>
        <w:jc w:val="left"/>
        <w:tblInd w:w="0" w:type="dxa"/>
        <w:tblLayout w:type="fixed"/>
        <w:tblCellMar>
          <w:top w:w="28" w:type="dxa"/>
          <w:left w:w="28" w:type="dxa"/>
          <w:bottom w:w="28" w:type="dxa"/>
          <w:right w:w="28" w:type="dxa"/>
        </w:tblCellMar>
      </w:tblPr>
      <w:tblGrid>
        <w:gridCol w:w="124"/>
        <w:gridCol w:w="256"/>
        <w:gridCol w:w="33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of clinical trial participants;</w:t>
            </w:r>
          </w:p>
        </w:tc>
      </w:tr>
    </w:tbl>
    <w:tbl>
      <w:tblPr>
        <w:tblW w:w="3516" w:type="dxa"/>
        <w:jc w:val="left"/>
        <w:tblInd w:w="0" w:type="dxa"/>
        <w:tblLayout w:type="fixed"/>
        <w:tblCellMar>
          <w:top w:w="28" w:type="dxa"/>
          <w:left w:w="28" w:type="dxa"/>
          <w:bottom w:w="28" w:type="dxa"/>
          <w:right w:w="28" w:type="dxa"/>
        </w:tblCellMar>
      </w:tblPr>
      <w:tblGrid>
        <w:gridCol w:w="124"/>
        <w:gridCol w:w="256"/>
        <w:gridCol w:w="3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to defend the related litigation;</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diversion of management’s time and our resources;</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 monetary awards to trial participants or patients;</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recalls, withdrawals or labeling, marketing or promotional restrictions;</w:t>
            </w:r>
          </w:p>
        </w:tc>
      </w:tr>
    </w:tbl>
    <w:tbl>
      <w:tblPr>
        <w:tblW w:w="1806" w:type="dxa"/>
        <w:jc w:val="left"/>
        <w:tblInd w:w="0" w:type="dxa"/>
        <w:tblLayout w:type="fixed"/>
        <w:tblCellMar>
          <w:top w:w="28" w:type="dxa"/>
          <w:left w:w="28" w:type="dxa"/>
          <w:bottom w:w="28" w:type="dxa"/>
          <w:right w:w="28" w:type="dxa"/>
        </w:tblCellMar>
      </w:tblPr>
      <w:tblGrid>
        <w:gridCol w:w="124"/>
        <w:gridCol w:w="256"/>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of revenue;</w:t>
            </w:r>
          </w:p>
        </w:tc>
      </w:tr>
    </w:tbl>
    <w:tbl>
      <w:tblPr>
        <w:tblW w:w="9621" w:type="dxa"/>
        <w:jc w:val="left"/>
        <w:tblInd w:w="0" w:type="dxa"/>
        <w:tblLayout w:type="fixed"/>
        <w:tblCellMar>
          <w:top w:w="28" w:type="dxa"/>
          <w:left w:w="28" w:type="dxa"/>
          <w:bottom w:w="28" w:type="dxa"/>
          <w:right w:w="28" w:type="dxa"/>
        </w:tblCellMar>
      </w:tblPr>
      <w:tblGrid>
        <w:gridCol w:w="124"/>
        <w:gridCol w:w="256"/>
        <w:gridCol w:w="9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commercialize soquelitinib, ciforadenant and mupadolimab or our other product candidates; and</w:t>
            </w:r>
          </w:p>
        </w:tc>
      </w:tr>
    </w:tbl>
    <w:tbl>
      <w:tblPr>
        <w:tblW w:w="2766" w:type="dxa"/>
        <w:jc w:val="left"/>
        <w:tblInd w:w="0" w:type="dxa"/>
        <w:tblLayout w:type="fixed"/>
        <w:tblCellMar>
          <w:top w:w="28" w:type="dxa"/>
          <w:left w:w="28" w:type="dxa"/>
          <w:bottom w:w="28" w:type="dxa"/>
          <w:right w:w="28" w:type="dxa"/>
        </w:tblCellMar>
      </w:tblPr>
      <w:tblGrid>
        <w:gridCol w:w="124"/>
        <w:gridCol w:w="256"/>
        <w:gridCol w:w="2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decline in our stock price.</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product liability insurance coverage in an amount and on terms and conditions that are customary for similarly situated companies and that are satisfactory to our board of directors. Our inability to retain sufficient product liability insurance at an acceptable cost to protect against potential product liability claims could prevent or inhibit the commercialization of soquelitinib, ciforadenant and mupadolimab or our other product candidates. Although we plan to maintain such insurance, any claim that may be brought against us could result in a court judgment or settlement in an amount that is not covered, in whole or in part, by our insurance or that is in excess of the limits of our insurance coverage. Our insurance policies will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and any of our existing or potential future collaborators will be required to report to regulatory authorities if any products that may be approved in the future cause or contribute to adverse medical events, and any failure to do so would result in sanctions that would materially harm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and any of our existing or potential future collaborators are successful in commercializing our products, the FDA and foreign regulatory authorities would require that we and any of our existing or potential future collaborators report certain information about adverse medical events if those products may have caused or contributed to those adverse events. The timing of our obligation to report would be triggered by the date we become aware of the adverse event as well as the nature of the event. We and any of our existing or potential future collaborators or CROs may fail to report adverse events within the prescribed timeframe. If we or any of our existing or potential future collaborators or CROs fail to comply with such reporting obligations, the FDA or a foreign regulatory authority could take action, including criminal prosecution, the imposition of civil monetary penalties, seizure of our products or delay in approval or clearance of future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employees, independent contractors, principal investigators, CROs, consultants and vendors may engage in misconduct or other improper activities, including noncompliance with regulatory standards and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exposed to the risk that our employees, independent contractors, principal investigators, CROs, consultants and vendors may engage in misconduct or other illegal activity. Misconduct by these parties could include intentional, reckless and/or negligent conduct involving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fines and other sanctions.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Intellectual Property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rights to develop and commercialize our product candidates are subject in part to the terms and conditions of licenses granted to us by other companies. The patent protection, prosecution and enforcement for some of our product candidates may be dependent on third parties.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currently are heavily reliant upon licenses of certain patent rights and proprietary technology from third parties that is important or necessary to the development of our technology and products, including technology related to our product candidates. For example, we rely on our license agreement with Vernalis for rights with respect to the intellectual property covering ciforadenant. Further, we rely on our license agreement with The Scripps Research Institute for rights related to our lead development candidate for our anti-CD73 program, mupadolimab. These and other licenses we may enter into in the future may not provide adequate rights to use such intellectual property and technology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in all relevant fields of use or in all territories in which we may wish to develop or commercialize our technology and products in the future. As a result, we may not be able to develop and commercialize our technology and products in fields of use and territories for which we are not granted rights pursuant to such 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Licenses to additional third-party technology that may be required for our development programs may not be available in the future or may not be available on commercially reasonable terms, which could have a material adverse effect on our business and financial condition.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some circumstances, we may not have the right to control the preparation, filing, prosecution and enforcement of patent applications, or to maintain the patents, covering technology that we license from third parties. In addition, some of our agreements with our licensors require us to obtain consent from the licensor before we can enforce patent rights, and our licensor may withhold such consent or may not provide it on a timely basis. Therefore, we cannot be certain that our licensors or collaborators will prosecute, maintain, enforce and defend such intellectual property rights in a manner consistent with the best interests of our business, including by taking reasonable measures to protect the confidentiality of know-how and trade secrets, or by paying all applicable prosecution and maintenance fees related to intellectual property registrations for any of our product candidates. We also cannot be certain that our licensors have drafted or prosecuted the patents and patent applications licensed to us in compliance with applicable laws and regulations, which may affect the validity and enforceability of such patents or any patents that may issue from such applications. If they fail to do so, this could cause us to lose rights in any applicable intellectual property that we in-license, and as a result our ability to develop and commercialize products or product candidates may be adversely affected and we may be unable to prevent competitors from making, using and selling competing products.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success depends on our ability to protect our intellectual property and our proprietary technologies.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ability to obtain and maintain patent protection and trade secret protection for our product candidates, proprietary technologies and their uses as well as our ability to operate without infringing upon the proprietary rights of others. We generally seek to protect our proprietary position by filing patent applications in the United States and abroad related to our product candidates, proprietary technologies and their uses that are important to our business. There can be no assurance that our patent applications or those of our licensors will result in additional patents being issued or that issued patents will afford sufficient protection against competitors with similar technology, nor can there be any assurance that the patents issued will not be infringed, designed around or invalidated by third parties. Even issued patents may later be found invalid or unenforceable or may be modified or revoked in proceedings instituted by third parties before various patent offices or in courts. The degree of future protection for our proprietary rights is uncertain. Only limited protection may be available and may not adequately protect our rights or permit us to gain or keep any competitive advantage. This failure to properly protect the intellectual property rights relating to our product candidates could have a material adverse effect on our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rights to issued composition-of-matter patents in the United States and corresponding issued patents in certain foreign territories covering soquelitinib, mupadolimab and ciforadenant, we cannot be certain that the claims in any of our patent applications covering composition-of-matter of our other product candidates will be considered patentable by the United States Patent and Trademark Office (“USPTO”), courts in the United States or by the patent offices and courts in foreign countries, nor can we be certain that the claims in our issued composition-of-matter patents will not be found invalid or unenforceable if challenged.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application process is subject to numerous risks and uncertainties, and there can be no assurance that we or any of our existing or potential future collaborators will be successful in protecting our product candidates by obtaining and defending patents. These risks and uncertainties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5601" w:type="dxa"/>
        <w:jc w:val="left"/>
        <w:tblInd w:w="0" w:type="dxa"/>
        <w:tblLayout w:type="fixed"/>
        <w:tblCellMar>
          <w:top w:w="28" w:type="dxa"/>
          <w:left w:w="28" w:type="dxa"/>
          <w:bottom w:w="28" w:type="dxa"/>
          <w:right w:w="28" w:type="dxa"/>
        </w:tblCellMar>
      </w:tblPr>
      <w:tblGrid>
        <w:gridCol w:w="124"/>
        <w:gridCol w:w="256"/>
        <w:gridCol w:w="5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may not result in any patents being issued;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 that may be issued or in-licensed may be challenged, invalidated, modified, revoked, circumvented, found to be unenforceable or otherwise may not provide any competitive advantage;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may be significant pressure on the U.S. government and international governmental bodies to limit the scope of patent protection both inside and outside the United States for disease treatments that prove successful, as a matter of public policy regarding worldwide health concerns;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countries other than the United States may have patent laws less favorable to patentees than those upheld by U.S. courts, allowing foreign competitors a better opportunity to create, develop and market competing product candidates.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patent prosecution process is also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CROs, contract manufacturers, consultants, advisors and other third parties, any of these parties may breach such agreements and disclose such output before a patent application is filed, thereby jeopardizing our ability to seek patent protection.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issuance of a patent is not conclusive as to its inventorship, scope, validity or enforceability, and our patents, if issued, or the patent rights that we license from others, may be challenged in the courts or patent offices in the United States and abroad. Such challenges may result in loss of exclusivity or in patent claims being narrowed, invalidated or held unenforceable, which could limit our ability to stop others from using or commercializing similar or identical products, or limit the duration of the patent protection of our products and product candidates. 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are unable to protect the confidentiality of our trade secrets, our business and competitive position would be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Despite these efforts, we cannot provide any assurances that all such agreements have been duly executed,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Moreover, third parties may still obtain this information or may come upon this or similar information independently, and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confidentiality of our proprietary technology and other confidential information, then our ability to obtain patent protection or to protect our trade secret information may be jeopardized.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commercial success depends significantly on our ability to operate without infringing the patents and other proprietary rights of third parties. Claims by third parties that we infringe their proprietary rights may result in liability for damages or prevent or delay our developmental and commercialization efforts.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commercial success depends in part on our avoiding infringement of the patents and proprietary rights of third parties. Other entities may have or obtain patents or proprietary rights that could limit our ability to make, use, sell, offer for sale or import our product candidates and future approved products or impair our competitive position. There is a substantial amount of litigation, both within and outside the United States, involving patent and other intellectual property rights in the biotechnology and pharmaceutical industries, including patent infringement lawsuits, interferences, oppositions, reexaminations, inter partes review (“IPR”) proceedings and post-grant review (“PGR”) proceedings before the USPTO and/or corresponding foreign patent offices. Numerous third-party U.S. and foreign issued patents and pending patent applications exist in the fields in which we are developing product candidates. There may be third-party patents or patent applications with claims to materials, formulations, methods of manufacture or methods for treatment related to the use or manufacture of our product candidates. As the biotechnology industry expands and more patents are issued, the risk increases that our product candidates may be subject to claims of infringement of the patent rights of third parties. Because patent applications are maintained as confidential for a certain period of time, until the relevant application is published we may be unaware of third-party patent applications that, if issued as patents, may be infringed by commercialization of soquelitinib, ciforadenant and mupadolimab or our other product candidates,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our product candidates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Any claims of patent infringement asserted by third parties would be time consuming and could:</w:t>
      </w:r>
    </w:p>
    <w:tbl>
      <w:tblPr>
        <w:tblW w:w="2601" w:type="dxa"/>
        <w:jc w:val="left"/>
        <w:tblInd w:w="0" w:type="dxa"/>
        <w:tblLayout w:type="fixed"/>
        <w:tblCellMar>
          <w:top w:w="28" w:type="dxa"/>
          <w:left w:w="28" w:type="dxa"/>
          <w:bottom w:w="28" w:type="dxa"/>
          <w:right w:w="28" w:type="dxa"/>
        </w:tblCellMar>
      </w:tblPr>
      <w:tblGrid>
        <w:gridCol w:w="124"/>
        <w:gridCol w:w="256"/>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 in costly litigation;</w:t>
            </w:r>
          </w:p>
        </w:tc>
      </w:tr>
    </w:tbl>
    <w:tbl>
      <w:tblPr>
        <w:tblW w:w="6486" w:type="dxa"/>
        <w:jc w:val="left"/>
        <w:tblInd w:w="0" w:type="dxa"/>
        <w:tblLayout w:type="fixed"/>
        <w:tblCellMar>
          <w:top w:w="28" w:type="dxa"/>
          <w:left w:w="28" w:type="dxa"/>
          <w:bottom w:w="28" w:type="dxa"/>
          <w:right w:w="28" w:type="dxa"/>
        </w:tblCellMar>
      </w:tblPr>
      <w:tblGrid>
        <w:gridCol w:w="124"/>
        <w:gridCol w:w="256"/>
        <w:gridCol w:w="61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divert the time and attention of our technical personnel and management;</w:t>
            </w:r>
          </w:p>
        </w:tc>
      </w:tr>
    </w:tbl>
    <w:tbl>
      <w:tblPr>
        <w:tblW w:w="2721" w:type="dxa"/>
        <w:jc w:val="left"/>
        <w:tblInd w:w="0" w:type="dxa"/>
        <w:tblLayout w:type="fixed"/>
        <w:tblCellMar>
          <w:top w:w="28" w:type="dxa"/>
          <w:left w:w="28" w:type="dxa"/>
          <w:bottom w:w="28" w:type="dxa"/>
          <w:right w:w="28" w:type="dxa"/>
        </w:tblCellMar>
      </w:tblPr>
      <w:tblGrid>
        <w:gridCol w:w="124"/>
        <w:gridCol w:w="256"/>
        <w:gridCol w:w="23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3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cause development delays;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prevent us from commercializing soquelitinib, ciforadenant and mupadolimab or our other product candidates until the asserted patent expires or is held finally invalid or not infringed in a court of law;</w:t>
            </w:r>
          </w:p>
        </w:tc>
      </w:tr>
    </w:tbl>
    <w:tbl>
      <w:tblPr>
        <w:tblW w:w="8961" w:type="dxa"/>
        <w:jc w:val="left"/>
        <w:tblInd w:w="0" w:type="dxa"/>
        <w:tblLayout w:type="fixed"/>
        <w:tblCellMar>
          <w:top w:w="28" w:type="dxa"/>
          <w:left w:w="28" w:type="dxa"/>
          <w:bottom w:w="28" w:type="dxa"/>
          <w:right w:w="28" w:type="dxa"/>
        </w:tblCellMar>
      </w:tblPr>
      <w:tblGrid>
        <w:gridCol w:w="124"/>
        <w:gridCol w:w="256"/>
        <w:gridCol w:w="8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develop non-infringing technology, which may not be possible on a cost-effective basis;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us to enter into royalty or licensing agreements, which may not be available on commercially reasonable terms, or at all.</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Although no third party has asserted a claim of patent infringement against us as of the date of this Quarterly Report on Form 10-Q, others may hold proprietary rights that could prevent soquelitinib, ciforadenant and mupadolimab or our other product candidates from being marketed. Any patent-related legal action against us claiming damages and seeking to enjoin commercial activities relating to our product candidates or processes could subject us to potential liability for damages, including treble damages if we were determined to willfully infringe, and require us to obtain a license to manufacture or market soquelitinib, ciforadenant and mupadolimab or our other product candidates.</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our future strategic partners were able to obtain a license, the rights may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nonexclusive, which could result in our competitors gaining access to the same intellectual property. In addition, we cannot be certain that we could redesign our product candidates or processes to avoid infringement, if necessary. Accordingly, an adverse determination in a judicial or administrative proceeding, or the failure to obtain necessary licenses, could prevent us from developing and commercializing soquelitinib, ciforadenant and mupadolimab or our other product candidates, which could harm our business, financial condition and results of operations. In addition, intellectual property litigation, regardless of its outcome, may cause negative publicity and could prohibit us from marketing or otherwise commercializing our product candidates and technology.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involved in lawsuits to protect or enforce our patents or the patents of our licensors, which could be expensive, time consuming, and unsuccessful. Further, our issued patents could be found invalid or unenforceable if challenged in court.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Competitors may infringe our intellectual property rights or those of our licensors. To prevent infringement or unauthorized use, we may be required to file infringement claims, which can be expensive and time-consuming. In addition, in a patent infringement proceeding, a court may decide that a patent we own or in-license is not valid, is unenforceable and/or is not infringed. If we or any of our existing or potential future collaborators were to initiate legal proceedings against a third party to enforce a patent directed at one of our product candidates,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or non-enablement. Grounds for an unenforceability assertion could include an allegation that someone connected with prosecution of the patent withheld relevant information from the USPTO or made a misleading statement during prosecution. Third parties may also raise similar claims before the USPTO, even outside the context of litigation. The outcome following legal assertions of invalidity and unenforceability is unpredictable, and prior art could render our patents or those of our licensors invalid. If a defendant were to prevail on a legal assertion of invalidity and/or unenforceability, we would lose at least part, and perhaps all, of the patent protection on such product candidate. Such a loss of patent protection would have a material adverse impact on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or manufacturing partnerships that would help us bring our product candidates to market.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Even if resolved in our favor, litigation or other legal proceedings relating to our intellectual property rights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Recent patent reform legislation could increase the uncertainties and costs surrounding the prosecution of our patent applications and the enforcement or defense of our issued patents.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On September 16, 2011, the Leahy-Smith America Invents Act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opposition, derivation, reexamination, inter-partes review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successful in obtaining or maintaining necessary rights to our product candidates through acquisitions and in-licenses.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have rights to the intellectual property, through licenses from third parties and under patents that we own, to develop our product candidates. Because our programs may require the use of proprietary rights held by third parties, the growth of our business will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collaborated with U.S. academic institutions and may in the future collaborate with U.S. and foreign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fail to comply with any of our obligations under existing agreements pursuant to which we license or have otherwise acquired intellectual property rights or technology, which could result in the loss of rights or technology that are material to our business.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Licensing of intellectual property is of critical importance to our business and involves complex legal, business and scientific issues. We are party to various agreements that we depend on for rights to use various technologies that are material to our business, including intellectual property rights covering ciforadenant and methods relating to its use and manufacture. In each of these cases, our rights to use the licensed intellectual property are subject to the continuation of and our compliance with the terms of these agreements. Disputes may arise regarding our rights to intellectual property licensed to us from a third party, including but not limited to:</w:t>
      </w:r>
    </w:p>
    <w:tbl>
      <w:tblPr>
        <w:tblW w:w="8151" w:type="dxa"/>
        <w:jc w:val="left"/>
        <w:tblInd w:w="0" w:type="dxa"/>
        <w:tblLayout w:type="fixed"/>
        <w:tblCellMar>
          <w:top w:w="28" w:type="dxa"/>
          <w:left w:w="28" w:type="dxa"/>
          <w:bottom w:w="28" w:type="dxa"/>
          <w:right w:w="28" w:type="dxa"/>
        </w:tblCellMar>
      </w:tblPr>
      <w:tblGrid>
        <w:gridCol w:w="124"/>
        <w:gridCol w:w="256"/>
        <w:gridCol w:w="77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7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rights granted under the license agreement and other interpretation-related issues;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extent to which our technology and processes infringe on intellectual property of the licensor that is not subject to the licensing agreement;</w:t>
            </w:r>
          </w:p>
        </w:tc>
      </w:tr>
    </w:tbl>
    <w:tbl>
      <w:tblPr>
        <w:tblW w:w="4011" w:type="dxa"/>
        <w:jc w:val="left"/>
        <w:tblInd w:w="0" w:type="dxa"/>
        <w:tblLayout w:type="fixed"/>
        <w:tblCellMar>
          <w:top w:w="28" w:type="dxa"/>
          <w:left w:w="28" w:type="dxa"/>
          <w:bottom w:w="28" w:type="dxa"/>
          <w:right w:w="28" w:type="dxa"/>
        </w:tblCellMar>
      </w:tblPr>
      <w:tblGrid>
        <w:gridCol w:w="124"/>
        <w:gridCol w:w="256"/>
        <w:gridCol w:w="36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sublicensing of patent and other rights;</w:t>
            </w:r>
          </w:p>
        </w:tc>
      </w:tr>
    </w:tbl>
    <w:tbl>
      <w:tblPr>
        <w:tblW w:w="9366" w:type="dxa"/>
        <w:jc w:val="left"/>
        <w:tblInd w:w="0" w:type="dxa"/>
        <w:tblLayout w:type="fixed"/>
        <w:tblCellMar>
          <w:top w:w="28" w:type="dxa"/>
          <w:left w:w="28" w:type="dxa"/>
          <w:bottom w:w="28" w:type="dxa"/>
          <w:right w:w="28" w:type="dxa"/>
        </w:tblCellMar>
      </w:tblPr>
      <w:tblGrid>
        <w:gridCol w:w="124"/>
        <w:gridCol w:w="256"/>
        <w:gridCol w:w="89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9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diligence obligations under the license agreement and what activities satisfy those diligence obligations;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ownership of inventions and know-how resulting from the creation or use of intellectual property by us, alone or with our licensors and collaborators;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our payment obligations;</w:t>
            </w:r>
          </w:p>
        </w:tc>
      </w:tr>
    </w:tbl>
    <w:tbl>
      <w:tblPr>
        <w:tblW w:w="4686" w:type="dxa"/>
        <w:jc w:val="left"/>
        <w:tblInd w:w="0" w:type="dxa"/>
        <w:tblLayout w:type="fixed"/>
        <w:tblCellMar>
          <w:top w:w="28" w:type="dxa"/>
          <w:left w:w="28" w:type="dxa"/>
          <w:bottom w:w="28" w:type="dxa"/>
          <w:right w:w="28" w:type="dxa"/>
        </w:tblCellMar>
      </w:tblPr>
      <w:tblGrid>
        <w:gridCol w:w="124"/>
        <w:gridCol w:w="256"/>
        <w:gridCol w:w="43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rights upon termination of such agreement;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and duration of exclusivity obligations of each party to the agreement.</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disputes over intellectual property and other rights that we have licensed or acquired from third parties prevent or impair our ability to maintain our current licensing arrangements on acceptable terms, we may be unable to successfully develop and commercialize the affected product candidates. If we fail to comply with our obligations under current or future licensing agreements, these agreements may be terminated or the scope of our rights under them may be reduced and we might be unable to develop, manufacture or market any product that is licensed under these agreements.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that we have wrongfully hired an employee from a competitor or that we or our employees have wrongfully used or disclosed alleged confidential information or trade secrets of their former employers.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common in the pharmaceutical industry, in addition to our employees, we engage the services of consultants to assist us in the development of our product candidates. Many of these consultants, and many of our employees, were previously employed at, or may have previously provided or may be currently providing consulting services to, other pharmaceutical companies including our competitors or potential competitors. We may become subject to claims that we, our employees or a consultant inadvertently or otherwise used or disclosed trade secrets or other information proprietary to their former employers or their former or current clients. Litigation may be necessary to defend against these claims. If we fail in defending any such claims, in addition to paying monetary damages, we may lose valuable intellectual property rights, which could adversely affect our business. Even if we are successful in defending against these claims, litigation could result in substantial costs and be a distraction to our management team.</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subject to claims challenging the inventorship or ownership of our patents and other intellectual property.</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may also be subject to claims that former employees, collaborators or other third parties have an ownership interest in our patents or other intellectual property. Litigation may be necessary to defend against these and other claims challenging inventorship or ownership. If we fail in defending any such claims, in addition to paying monetary damages, we may lose valuable intellectual property rights. Such an outcome could have a material adverse effect on our business. Even if we are successful in defending against such claims, litigation could result in substantial costs and distraction to management and other employees.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do not obtain patent term extension for our product candidates, our business may be materially harmed.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Depending upon the timing, duration and specifics of potential FDA marketing approval of soquelitinib, ciforadenant, mupadolimab, or other product candidates, one or more of our U.S. patents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However, we may not be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our trademarks and trade names are not adequately protected, then we may not be able to build name recognition in our markets of interest and our business may be adversely affected.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financial condition or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U.S. patent law could diminish the value of patents in general, thereby impairing our ability to protect our product candidates.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In addition, Congress may pass patent reform legislation that is unfavorable to us.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would weaken our ability to obtain new patents or to enforce our existing patents and patents we might obtain in the future.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may not be able to protect our intellectual property rights throughout the world.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While we have issued patents directed at soquelitinib, mupadolimab and ciforadenant in the United States and certain foreign territories, and pending patent applications directed at soquelitinib, ciforadenant, mupadolimab and other product candidates in other foreign countries, filing, prosecuting and defending patents on soquelitinib, ciforadenant, mupadolimab and our other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 candidates, and our patents or other intellectual property rights may not be effective or sufficient to prevent them from competing.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The legal systems of many foreign countries do not favor the enforcement of patents and other intellectual property protection, which could make it difficult for us to stop the infringement of our patents or marketing of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competing products in violation of our proprietary rights.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Intellectual property rights do not necessarily address all potential threats to our competitive advantage.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degree of future protection afforded by our intellectual property rights is uncertain because intellectual property rights have limitations, and may not adequately protect our business or permit us to maintain our competitive advantage. For example: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be able to make adenosine antagonists that are similar to our product candidates but that are not covered by the claims of the patents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make the inventions covered by the issued patent or pending patent application that we own or have exclusively licensed;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our licensors or future collaborators might not have been the first to file patent applications covering certain of our inventions;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others may independently develop similar or alternative technologies or duplicate any of our technologies without infringing our intellectual property rights;</w:t>
            </w:r>
          </w:p>
        </w:tc>
      </w:tr>
    </w:tbl>
    <w:tbl>
      <w:tblPr>
        <w:tblW w:w="7071" w:type="dxa"/>
        <w:jc w:val="left"/>
        <w:tblInd w:w="0" w:type="dxa"/>
        <w:tblLayout w:type="fixed"/>
        <w:tblCellMar>
          <w:top w:w="28" w:type="dxa"/>
          <w:left w:w="28" w:type="dxa"/>
          <w:bottom w:w="28" w:type="dxa"/>
          <w:right w:w="28" w:type="dxa"/>
        </w:tblCellMar>
      </w:tblPr>
      <w:tblGrid>
        <w:gridCol w:w="124"/>
        <w:gridCol w:w="256"/>
        <w:gridCol w:w="6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possible that our pending patent applications will not lead to issued patents;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issued patents that we own or have exclusively licensed may be held invalid or unenforceable, as a result of legal challenges by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might conduct research and development activities in countries where we do not have patent rights and then use the information learned from such activities to develop competitive products for sale in our major commercial markets;</w:t>
            </w:r>
          </w:p>
        </w:tc>
      </w:tr>
    </w:tbl>
    <w:tbl>
      <w:tblPr>
        <w:tblW w:w="7041" w:type="dxa"/>
        <w:jc w:val="left"/>
        <w:tblInd w:w="0" w:type="dxa"/>
        <w:tblLayout w:type="fixed"/>
        <w:tblCellMar>
          <w:top w:w="28" w:type="dxa"/>
          <w:left w:w="28" w:type="dxa"/>
          <w:bottom w:w="28" w:type="dxa"/>
          <w:right w:w="28" w:type="dxa"/>
        </w:tblCellMar>
      </w:tblPr>
      <w:tblGrid>
        <w:gridCol w:w="124"/>
        <w:gridCol w:w="256"/>
        <w:gridCol w:w="66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develop additional proprietary technologies that are patentable; and</w:t>
            </w:r>
          </w:p>
        </w:tc>
      </w:tr>
    </w:tbl>
    <w:tbl>
      <w:tblPr>
        <w:tblW w:w="5736" w:type="dxa"/>
        <w:jc w:val="left"/>
        <w:tblInd w:w="0" w:type="dxa"/>
        <w:tblLayout w:type="fixed"/>
        <w:tblCellMar>
          <w:top w:w="28" w:type="dxa"/>
          <w:left w:w="28" w:type="dxa"/>
          <w:bottom w:w="28" w:type="dxa"/>
          <w:right w:w="28" w:type="dxa"/>
        </w:tblCellMar>
      </w:tblPr>
      <w:tblGrid>
        <w:gridCol w:w="124"/>
        <w:gridCol w:w="256"/>
        <w:gridCol w:w="53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patents of others may have an adverse effect on our business.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Should any of these events occur, they could significantly harm our business, results of operations and prospects.</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Common Stock</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An active, liquid and orderly market for our common stock may not be sustained.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Although our common stock is listed on The Nasdaq Global Market (“Nasdaq”), an active trading market for our common stock may not be sustained on Nasdaq or any other exchange in the future. The lack of an active market may impair our stockholders’ ability to sell their shares at the time they wish to sell them or at a price that they consider reasonable. If an active market for our common stock is not sustained, it may also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 which, in turn, could materially adversely affect our business. In any event, we have a limited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public float and, as a result, our common stock has been and will likely continue to be less liquid than many other listed companies and trading may be adversely affected.</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The trading price of the shares of our common stock could be highly volatile, and investors in our common stock could incur substantial losses.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stock price has been volatile. The stock market in general and the market for stock of pharmaceutical companies in particular have experienced extreme volatility that has often been unrelated to the operating performance of particular companies. The market price for our common stock may be influenced by those factors discussed in this “Risk Factors” section and many others, including:</w:t>
      </w:r>
    </w:p>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enroll subjects in our planned clinical trials;</w:t>
            </w:r>
          </w:p>
        </w:tc>
      </w:tr>
    </w:tbl>
    <w:tbl>
      <w:tblPr>
        <w:tblW w:w="10116" w:type="dxa"/>
        <w:jc w:val="left"/>
        <w:tblInd w:w="0" w:type="dxa"/>
        <w:tblLayout w:type="fixed"/>
        <w:tblCellMar>
          <w:top w:w="28" w:type="dxa"/>
          <w:left w:w="28" w:type="dxa"/>
          <w:bottom w:w="28" w:type="dxa"/>
          <w:right w:w="28" w:type="dxa"/>
        </w:tblCellMar>
      </w:tblPr>
      <w:tblGrid>
        <w:gridCol w:w="124"/>
        <w:gridCol w:w="256"/>
        <w:gridCol w:w="9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results of the clinical trials, and the results of trials of our competitors or those of other companies in our market sector;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approval of soquelitinib, ciforadenant, mupadolimab and our other product candidates, or limitations to specific label indications or patient populations for its use, or changes or delays in the regulatory review process;</w:t>
            </w:r>
          </w:p>
        </w:tc>
      </w:tr>
    </w:tbl>
    <w:tbl>
      <w:tblPr>
        <w:tblW w:w="7926" w:type="dxa"/>
        <w:jc w:val="left"/>
        <w:tblInd w:w="0" w:type="dxa"/>
        <w:tblLayout w:type="fixed"/>
        <w:tblCellMar>
          <w:top w:w="28" w:type="dxa"/>
          <w:left w:w="28" w:type="dxa"/>
          <w:bottom w:w="28" w:type="dxa"/>
          <w:right w:w="28" w:type="dxa"/>
        </w:tblCellMar>
      </w:tblPr>
      <w:tblGrid>
        <w:gridCol w:w="124"/>
        <w:gridCol w:w="256"/>
        <w:gridCol w:w="75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Angel Pharmaceuticals’ ability to develop and commercialize product candidates in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 in the United States and foreign countries; including changes in the policies of the U.S. or Chinese governments resulting in sanctions instituted by either government;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structure of healthcare payment systems, especially in light of current reforms to the U.S. healthcare system;</w:t>
            </w:r>
          </w:p>
        </w:tc>
      </w:tr>
    </w:tbl>
    <w:tbl>
      <w:tblPr>
        <w:tblW w:w="8256" w:type="dxa"/>
        <w:jc w:val="left"/>
        <w:tblInd w:w="0" w:type="dxa"/>
        <w:tblLayout w:type="fixed"/>
        <w:tblCellMar>
          <w:top w:w="28" w:type="dxa"/>
          <w:left w:w="28" w:type="dxa"/>
          <w:bottom w:w="28" w:type="dxa"/>
          <w:right w:w="28" w:type="dxa"/>
        </w:tblCellMar>
      </w:tblPr>
      <w:tblGrid>
        <w:gridCol w:w="124"/>
        <w:gridCol w:w="256"/>
        <w:gridCol w:w="78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or failure of our efforts to acquire, license or develop additional product candidates;</w:t>
            </w:r>
          </w:p>
        </w:tc>
      </w:tr>
    </w:tbl>
    <w:tbl>
      <w:tblPr>
        <w:tblW w:w="5811" w:type="dxa"/>
        <w:jc w:val="left"/>
        <w:tblInd w:w="0" w:type="dxa"/>
        <w:tblLayout w:type="fixed"/>
        <w:tblCellMar>
          <w:top w:w="28" w:type="dxa"/>
          <w:left w:w="28" w:type="dxa"/>
          <w:bottom w:w="28" w:type="dxa"/>
          <w:right w:w="28" w:type="dxa"/>
        </w:tblCellMar>
      </w:tblPr>
      <w:tblGrid>
        <w:gridCol w:w="124"/>
        <w:gridCol w:w="256"/>
        <w:gridCol w:w="5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innovations or new products developed by us or our competitors;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by us or our competitors of significant acquisitions, strategic partnerships, joint ventures or capital commitments;</w:t>
            </w:r>
          </w:p>
        </w:tc>
      </w:tr>
    </w:tbl>
    <w:tbl>
      <w:tblPr>
        <w:tblW w:w="5226" w:type="dxa"/>
        <w:jc w:val="left"/>
        <w:tblInd w:w="0" w:type="dxa"/>
        <w:tblLayout w:type="fixed"/>
        <w:tblCellMar>
          <w:top w:w="28" w:type="dxa"/>
          <w:left w:w="28" w:type="dxa"/>
          <w:bottom w:w="28" w:type="dxa"/>
          <w:right w:w="28" w:type="dxa"/>
        </w:tblCellMar>
      </w:tblPr>
      <w:tblGrid>
        <w:gridCol w:w="124"/>
        <w:gridCol w:w="256"/>
        <w:gridCol w:w="48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supply or distribution delays or shortages;</w:t>
            </w:r>
          </w:p>
        </w:tc>
      </w:tr>
    </w:tbl>
    <w:tbl>
      <w:tblPr>
        <w:tblW w:w="9156" w:type="dxa"/>
        <w:jc w:val="left"/>
        <w:tblInd w:w="0" w:type="dxa"/>
        <w:tblLayout w:type="fixed"/>
        <w:tblCellMar>
          <w:top w:w="28" w:type="dxa"/>
          <w:left w:w="28" w:type="dxa"/>
          <w:bottom w:w="28" w:type="dxa"/>
          <w:right w:w="28" w:type="dxa"/>
        </w:tblCellMar>
      </w:tblPr>
      <w:tblGrid>
        <w:gridCol w:w="124"/>
        <w:gridCol w:w="256"/>
        <w:gridCol w:w="87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changes to our relationship with any manufacturers, suppliers, collaborators or other strategic partners;</w:t>
            </w:r>
          </w:p>
        </w:tc>
      </w:tr>
    </w:tbl>
    <w:tbl>
      <w:tblPr>
        <w:tblW w:w="4326" w:type="dxa"/>
        <w:jc w:val="left"/>
        <w:tblInd w:w="0" w:type="dxa"/>
        <w:tblLayout w:type="fixed"/>
        <w:tblCellMar>
          <w:top w:w="28" w:type="dxa"/>
          <w:left w:w="28" w:type="dxa"/>
          <w:bottom w:w="28" w:type="dxa"/>
          <w:right w:w="28" w:type="dxa"/>
        </w:tblCellMar>
      </w:tblPr>
      <w:tblGrid>
        <w:gridCol w:w="124"/>
        <w:gridCol w:w="256"/>
        <w:gridCol w:w="3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achievement of product sales and profitability;</w:t>
            </w:r>
          </w:p>
        </w:tc>
      </w:tr>
    </w:tbl>
    <w:tbl>
      <w:tblPr>
        <w:tblW w:w="8046" w:type="dxa"/>
        <w:jc w:val="left"/>
        <w:tblInd w:w="0" w:type="dxa"/>
        <w:tblLayout w:type="fixed"/>
        <w:tblCellMar>
          <w:top w:w="28" w:type="dxa"/>
          <w:left w:w="28" w:type="dxa"/>
          <w:bottom w:w="28" w:type="dxa"/>
          <w:right w:w="28" w:type="dxa"/>
        </w:tblCellMar>
      </w:tblPr>
      <w:tblGrid>
        <w:gridCol w:w="124"/>
        <w:gridCol w:w="256"/>
        <w:gridCol w:w="7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financial results or those of companies that are perceived to be similar to us;</w:t>
            </w:r>
          </w:p>
        </w:tc>
      </w:tr>
    </w:tbl>
    <w:tbl>
      <w:tblPr>
        <w:tblW w:w="9546" w:type="dxa"/>
        <w:jc w:val="left"/>
        <w:tblInd w:w="0" w:type="dxa"/>
        <w:tblLayout w:type="fixed"/>
        <w:tblCellMar>
          <w:top w:w="28" w:type="dxa"/>
          <w:left w:w="28" w:type="dxa"/>
          <w:bottom w:w="28" w:type="dxa"/>
          <w:right w:w="28" w:type="dxa"/>
        </w:tblCellMar>
      </w:tblPr>
      <w:tblGrid>
        <w:gridCol w:w="124"/>
        <w:gridCol w:w="256"/>
        <w:gridCol w:w="91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conditions in the pharmaceutical sector and issuance of securities analysts’ reports or recommendations;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political instability, natural disasters, war and/or events of terrorism, such as the military conflict between Ukraine and Russia, and the corresponding tensions created from such conflict between Russia, the United States and countries in Europe as well as other countries such as China, and conflicts and tensions in the Middle East and Venezuela;</w:t>
            </w:r>
          </w:p>
        </w:tc>
      </w:tr>
    </w:tbl>
    <w:tbl>
      <w:tblPr>
        <w:tblW w:w="3591" w:type="dxa"/>
        <w:jc w:val="left"/>
        <w:tblInd w:w="0" w:type="dxa"/>
        <w:tblLayout w:type="fixed"/>
        <w:tblCellMar>
          <w:top w:w="28" w:type="dxa"/>
          <w:left w:w="28" w:type="dxa"/>
          <w:bottom w:w="28" w:type="dxa"/>
          <w:right w:w="28" w:type="dxa"/>
        </w:tblCellMar>
      </w:tblPr>
      <w:tblGrid>
        <w:gridCol w:w="124"/>
        <w:gridCol w:w="256"/>
        <w:gridCol w:w="32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 volume of our common stock;</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6141" w:type="dxa"/>
        <w:jc w:val="left"/>
        <w:tblInd w:w="0" w:type="dxa"/>
        <w:tblLayout w:type="fixed"/>
        <w:tblCellMar>
          <w:top w:w="28" w:type="dxa"/>
          <w:left w:w="28" w:type="dxa"/>
          <w:bottom w:w="28" w:type="dxa"/>
          <w:right w:w="28" w:type="dxa"/>
        </w:tblCellMar>
      </w:tblPr>
      <w:tblGrid>
        <w:gridCol w:w="124"/>
        <w:gridCol w:w="256"/>
        <w:gridCol w:w="5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inability to obtain additional funding on favorable terms, or at all;</w:t>
            </w:r>
          </w:p>
        </w:tc>
      </w:tr>
    </w:tbl>
    <w:tbl>
      <w:tblPr>
        <w:tblW w:w="4341" w:type="dxa"/>
        <w:jc w:val="left"/>
        <w:tblInd w:w="0" w:type="dxa"/>
        <w:tblLayout w:type="fixed"/>
        <w:tblCellMar>
          <w:top w:w="28" w:type="dxa"/>
          <w:left w:w="28" w:type="dxa"/>
          <w:bottom w:w="28" w:type="dxa"/>
          <w:right w:w="28" w:type="dxa"/>
        </w:tblCellMar>
      </w:tblPr>
      <w:tblGrid>
        <w:gridCol w:w="124"/>
        <w:gridCol w:w="256"/>
        <w:gridCol w:w="39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stock by insiders and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industry and market conditions, other events or factors such as tariffs, trade controls, interest rates, inflationary pressures and the occurrence of a recession or even depression, many of which are beyond our control;</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or departures of key personnel; and</w:t>
            </w:r>
          </w:p>
        </w:tc>
      </w:tr>
    </w:tbl>
    <w:tbl>
      <w:tblPr>
        <w:tblW w:w="6006" w:type="dxa"/>
        <w:jc w:val="left"/>
        <w:tblInd w:w="0" w:type="dxa"/>
        <w:tblLayout w:type="fixed"/>
        <w:tblCellMar>
          <w:top w:w="28" w:type="dxa"/>
          <w:left w:w="28" w:type="dxa"/>
          <w:bottom w:w="28" w:type="dxa"/>
          <w:right w:w="28" w:type="dxa"/>
        </w:tblCellMar>
      </w:tblPr>
      <w:tblGrid>
        <w:gridCol w:w="124"/>
        <w:gridCol w:w="256"/>
        <w:gridCol w:w="56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intellectual property, product liability or other litigation against us.</w:t>
            </w:r>
          </w:p>
        </w:tc>
      </w:tr>
    </w:tbl>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result of this volatility, investors may experience losses on their investment in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addition, in the past, stockholders have initiated class action lawsuits against pharmaceutical companies following periods of volatility in the market prices of these companies’ stock. Such litigation, if instituted against us, could cause us to incur substantial costs and divert management’s attention and resources, which could have a material adverse effect on our business, financial condition and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adhere to the listing requirements of the Nasdaq Global Market our common stock could be delisted.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If we are unable to comply with the listing requirements of the Nasdaq Global Market, our stock could be delisted for such failure. If our common stock is delisted from Nasdaq, we could be required to list on the over-the-counter (“OTC”) market, which may adversely affect the price and trading liquidity of our common stock. Delisting from the Nasdaq may have other negative results, including the potential loss of confidence in us by employees and partners, the loss of institutional investor interest, fewer business development opportunities and greater difficulty in obtaining financing on favorable terms or at all.</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principal stockholders and management own a significant percentage of our stock and will be able to exert significant control over matters subject to stockholder approval.</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of June 30, 2026, our executive officers, directors, holders of 5% or more of our capital stock based on publicly available filings made with the SEC and their respective affiliates beneficially owned approximately 26% of our outstanding common stock. Therefore, these stockholders have the ability to influence us through their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We do not currently intend to pay dividends on our common stock, and, consequently, our stockholders’ ability to achieve a return on their investment will depend on appreciation, if any, in the price of our common stock.</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There is no guarantee that shares of our common stock will appreciate in value or even maintain the price at which stockholders have purchased their shares.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Sales of a substantial number of shares of our common stock by our existing stockholders in the public market could cause our stock price to fall.</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of a substantial number of shares of our common stock in the public market could occur at any time. These sales, or the perception in the market that the holders of a large number of shares intend to sell shares, could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reduce the market price of our common stock. Moreover, certain holders of shares of our common stock have rights, subject to certain conditions, to require us to file registration statements covering their shares or to include their shares in registration statements that we may file for ourselves or other stockholders. We have registered and intend to continue to register all shares of common stock that we may issue under our equity compensation plans. Once we register these shares, they can be freely sold in the public market upon issuance, subject to volume limitations applicable to affiliates.</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b/>
          <w:i/>
          <w:sz w:val="20"/>
        </w:rPr>
        <w:t>Beginning January 1, 2027, we will no longer qualify as</w:t>
      </w:r>
      <w:r>
        <w:rPr>
          <w:rFonts w:ascii="Times New Roman;Times;serif" w:hAnsi="Times New Roman;Times;serif"/>
          <w:sz w:val="20"/>
        </w:rPr>
        <w:t xml:space="preserve"> </w:t>
      </w:r>
      <w:r>
        <w:rPr>
          <w:rFonts w:ascii="Times New Roman;Times;serif" w:hAnsi="Times New Roman;Times;serif"/>
          <w:b/>
          <w:i/>
          <w:sz w:val="20"/>
        </w:rPr>
        <w:t>a smaller reporting company, which will increase our costs and demands on management, which will be further increased if and when we lose our status as a non-accelerated filer and become subject to auditor attestation requirements.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Based on the market value of our common stock held by our non-affiliates as of June 30, 2026, we will no longer be a smaller reporting company as of January 1, 2027, and thus will be subject to additional disclosure requirements beginning with our Quarterly Report on Form 10-Q for the quarter ended March 31, 2027. Due to this upcoming transition, we will need to implement and comply with the additional standards, rules and regulations that will apply to us upon losing our smaller reporting company status. Compliance with the additional requirements will also increase our legal, accounting and financial compliance costs.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a smaller reporting company, we have been allowed to take advantage of exemptions from various reporting requirements that are applicable to other public companies that are not smaller reporting companies, including reduced disclosure obligations regarding executive compensation in our Annual Report and our periodic reports and proxy statements and providing only two years of audited financial statements in our Annual Report and our periodic reports. In addition, our status as a non-accelerated filer has exempted us from the auditor attestation requirements of Section 404 of the Sarbanes Oxley Act of 2002, as amended (“Sarbanes Oxley”). If and when we are no longer a non-accelerated filer, which may occur as early as December 31, 2027, our independent registered public accounting firm would be required to attest to the effectiveness of our internal control over financial reporting beginning with our Annual Report on Form 10-K for that fiscal year. Auditor attestation would further increase our accounting and financial compliance costs.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we fail to maintain proper and effective internal control over financial reporting, our ability to produce accurate and timely consolidated financial statements could be impaired, investors may lose confidence in our financial reporting and the trading price of our common stock may decline.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Pursuant to Section 404 of Sarbanes-Oxley, if and when we become an accelerated or large accelerated filer, our independent registered public accounting firm will be required to attest to the effectiveness of our internal control over financial reporting. We will continue to be a non-accelerated filer as of December 31, 2026 and will remain a non-accelerated filer until December 31, 2027. Thereafter, our filer status will be determined as of the end of each fiscal year based on various factors, including whether we regain status as a smaller reporting company under certain conditions and are eligible to use the requirements for a smaller reporting company as of the end of such fiscal year.</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The rules governing the standards that must be met for management to assess our internal control over financial reporting are complex and require significant documentation, testing and possible remediation. To continue to comply with the requirements of being a reporting company under the Exchange Act, as we continue to grow, we will need to upgrade our systems including information technology; implement additional financial and management controls, reporting systems and procedures; and hire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cannot assure our stockholders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or our auditors, as part of their Section 404(b) attestation procedures, are unable to conclude that our internal control over financial reporting is effective, including as the result of a finding of a material weakness in our internal control over financial reporting, investors may lose confidence in the accuracy and completeness of our financial reports, the market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Provisions in our charter documents and under Delaware law could discourage a takeover that stockholders may consider favorable and may lead to entrenchment of management.</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contain provisions that could significantly reduce the value of our shares to a potential acquiror or delay or prevent changes in control or changes in our management without the consent of our board of directors. The provisions in our charter documents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classified board of directors with three-year staggered terms, which may delay the ability of stockholders to change the membership of a majority of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cumulative voting in the election of directors, which limits the ability of minority stockholders to elect director candidates;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exclusive right of our board of directors, unless the board of directors grants such right to the stockholders, to elect a director to fill a vacancy created by the expansion of the board of directors or the resignation, death or removal of a director, which prevents stockholders from being able to fill vacancies on our board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remove a director for cause, and the prohibition on removal of directors without cause;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board of directors to alter our amended and restated bylaws without obtaining stockholder approval;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required approval of at least 66 2/3% of the shares entitled to vote to adopt, amend or repeal our amended and restated bylaws or repeal the provisions of our amended and restated certificate of incorporation regarding the election and removal of directors;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prohibition on stockholder action by written consent, which forces stockholder action to be taken at an annual or special meeting of our stockholders;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exclusive forum provision providing that the Court of Chancery of the State of Delaware will be the exclusive forum for certain actions and proceedings;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requirement that a special meeting of stockholders may be called only by the board of directors, which may delay the ability of our stockholders to force consideration of a proposal or to take action, including the removal of directors;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tc>
      </w:tr>
    </w:tbl>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amended and restated certificate of incorporation and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amended and restated certificate of incorporation and amended and restated bylaws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This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this provision in our amended and restated certificate of incorporation and amended and restated bylaws to be inapplicable or unenforceable in an action, we may incur additional costs associated with resolving such action in other jurisdictions, which could adversely affect our business and financial condition. This provision would not apply to suits brought to enforce a duty or liability created by the Exchange Act or any other claim for which the U.S. federal courts have exclusive jurisdiction.</w:t>
      </w:r>
    </w:p>
    <w:p>
      <w:pPr>
        <w:pStyle w:val="TextBody"/>
        <w:bidi w:val="0"/>
        <w:spacing w:lineRule="auto" w:line="285" w:before="0" w:after="240"/>
        <w:ind w:left="0" w:right="0" w:hanging="0"/>
        <w:jc w:val="left"/>
        <w:rPr>
          <w:rFonts w:ascii="Times New Roman;Times;serif" w:hAnsi="Times New Roman;Times;serif"/>
          <w:b/>
          <w:sz w:val="20"/>
        </w:rPr>
      </w:pPr>
      <w:r>
        <w:rPr>
          <w:rFonts w:ascii="Times New Roman;Times;serif" w:hAnsi="Times New Roman;Times;serif"/>
          <w:b/>
          <w:sz w:val="20"/>
        </w:rPr>
        <w:t>General Risks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future growth may depend, in part, on our ability to operate in foreign markets, where we would be subject to additional regulatory burdens and other risks and uncertainties.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future growth may depend, in part, on our ability to develop and commercialize our product candidates in foreign markets. We are not permitted to market or promote any of our product candidates before we receive regulatory approval from applicable regulatory authorities in foreign markets, and we may never receive such regulatory approvals for any of our product candidates. To obtain separate regulatory approval in many other countries we must comply with numerous and varying regulatory requirements regarding safety and efficacy and governing, among other things, clinical trials, commercial sales, pricing and distribution of our product candidates. If we obtain regulatory approval of our product candidates and ultimately commercialize our product candidates in foreign markets, we would be subject to additional risks and uncertainties, including the burden of complying with complex and changing foreign regulatory, tax, accounting and legal requirements and the reduced protection of intellectual property rights in some foreign countries.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to applicable U.S. or foreign tax laws and regulations may have a material adverse effect on our business, financial condition and results of operations.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are subject to evolving and complex tax laws in the United States and the foreign jurisdictions in which we operate. New income, sales, use or other tax laws, statutes, rules, regulations, or ordinances could be enacted at any time, or interpreted, changed, modified, or applied adversely to us, any of which could adversely affect our business operations and financial performance. We expect the scope and extent of regulation in the jurisdictions in which we conduct our business, or where our management is located, as well as regulatory oversight and supervision, to generally continue to increase. Generally, future changes in applicable U.S. or foreign tax laws and regulations, or their interpretation and application could have an adverse effect on our business, financial condition and results of operations.</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information technology systems, or those of any of our existing or potential future collaborators, CROs or other contractors or consultants, may fail or suffer security breaches, which could result in a material disruption of our product development programs.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maintain sensitive company data on our information technology systems, including our intellectual property, proprietary business information, clinical trial data, and personal information (collectively, “Confidential Information”) of customers and our employees and contractors. We face a number of threats to our networks from unauthorized access, security breaches and other system disruptions. Despite the implementation of security measures, our information technology and other internal computer systems and those of our current and any future CROs and other contractors, consultants and collaborators are vulnerable to damage from cyberattacks, “phishing” attacks, computer viruses and malware (e.g., ransomware), malicious code, misconfigurations, “bugs” or other vulnerabilities, unauthorized access, natural disasters, terrorism, war and telecommunication and electrical failures, including from diverse threat actors, such as state-sponsored organizations, opportunistic hackers and hacktivists.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 including artificial intelligence – that are designed to circumvent controls, to avoid detection, and to remove or obfuscate forensic evidence. As a result of the continued hybrid working environment, we may also face increased cybersecurity risks due to our reliance on internet technology and the number of our and our service providers’ employees who are working remotely, which may create additional opportunities for cybercriminals to exploit vulnerabilities. There can also be no assurance that our and our current and future CROs’ and other contractors’, consultants’ and collaborators’ cybersecurity risk management program and processes, including policies, controls or procedures, will be fully implemented, complied with or effective in protecting our systems, networks and Confidential Information.</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and certain of our service providers are from time to time, subject to cyberattacks and security incidents. While we do not believe that we have experienced any significant system failure, accident or security breach to date, any such security breach may compromise Confidential Information stored on our networks, or those of our vendors, and may result in significant data losses or theft of our Confidential Information. Further, if such an event were to occur and cause interruptions in our operations, it could result in a material disruption of our development programs and our business operations, whether due to a loss of our trade secrets or other similar disruptions. For example, the loss of clinical trial data from completed or future clinical trials could result in delays in our regulatory approval efforts and significantly increase our costs to recover or reproduce the data. In addition, such a breach may require notification to governmental agencies, or affected individuals pursuant to applicable data privacy and security laws. We would also be exposed to a risk of loss, including financial assets or litigation and potential liability, which could materially adversely affect our business, reputation, financial condition, results of operations and prospects. 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Information, we could incur liability and the further development and commercialization of our product candidates could be delayed or otherwise harmed.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customers, and/or significant incident response, system restoration or remediation and future compliance costs. 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and failures to comply with U.S. and foreign privacy and data protection laws, regulations and standards may adversely affect our business, operations and financial performance.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We are subject to or affected by numerous federal, state and foreign laws and regulations, as well as regulatory guidance, governing the collection, use, disclosure, retention, and security of personal data, such as information that we collect about patients and healthcare providers in connection with clinical trials in the United States and abroad. The global data protection landscape is rapidly evolving, and implementation standards and enforcement practices are likely to remain uncertain for the foreseeable future. This evolution may create uncertainty in our business, affect our or our collaborators’, service providers’ and contractors’ ability to operate in certain jurisdictions or to collect, store, transfer use and share personal information, necessitate the acceptance of more onerous obligations in our contracts, result in liability or impose additional costs on us. </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In the United States, HIPAA imposes, among other things, certain standards relating to the privacy, security, transmission and breach reporting of individually identifiable health information. Certain states have also adopted comparable privacy and security laws and regulations, which govern the privacy, processing and protection of health-related and other personal information. Depending on the facts and circumstances, we could be subject to criminal penalties if we knowingly obtain, use, or disclose individually identifiable health information that was provided to us by a HIPAA-covered entity in a manner that is not authorized or permitted by HIPAA.</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the California Consumer Privacy Act, as amended by the California Privacy Rights Act (collectively, the “CCPA”) requires covered businesses that process the personal information of California residents to, among other things: provide certain disclosures to California residents regarding the business’s collection, use, and disclosure of their personal information; receive and respond to requests from California residents to access, delete, and correct their personal information, or to opt out of certain disclosures of their personal information; and enter into specific contractual provisions with service providers that process California resident personal information on the business’s behalf. Similar laws have been proposed in other states and are continuing to be proposed at the state and federal level, and if passed, such laws may have potentially conflicting requirements that would make compliance challenging.</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Our operations abroad may also be subject to increased scrutiny or attention from data protection authorities. Many countries in these regions have established or are in the process of establishing privacy and data security legal frameworks with which we, our collaborators, service providers, including our CRO, and contractors must comply. For example, the General Data Protection Regulation (the “GDPR”), which went into effect in May 2018, imposes strict requirements for processing the personal data of individuals within the EEA, including clinical trial data. The GDPR has and will continue to increase compliance burdens on us, including by mandating potentially burdensome documentation requirements and granting certain rights to individuals to control how we collect, use, disclose, retain and process information about them. The processing of sensitive personal data, such as physical health condition, may impose heightened compliance burdens under the GDPR and is a topic of active interest among foreign regulators. The GDPR provides for robust regulatory enforcement and fines of up to €20 million or 4% of the annual global revenue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Additionally, the U.S. Department of Justice recently issued a final rule that went into effect in April 2025, known as the “Data Security Program” (the “DSP Rule”). The DSP Rule places restrictions, and in some cases prohibitions, on certain transactions that could grant access of sensitive personal data to certain foreign actors with connections to “countries of concern”, such as China, which the DSP Rule refers to as “covered persons,” and may create operational challenges and legal risks for our business. As regulators issue further guidance on personal data export mechanisms and/or start taking enforcement action, we could suffer additional costs, complaints and/or regulatory investigations or fines. If we are otherwise unable to transfer personal data between and among countries and regions in which we operate, it could affect the manner in which we provide our services, the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geographical location or segregation of our relevant systems and operations, and could adversely affect our financial results.</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Further, from January 1, 2021, we had to comply with the GDPR and the United Kingdom (“UK”) GDPR, which, together with the amended UK Data Protection Act 2018, retains the GDPR in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As we expand into other foreign countries and jurisdictions, we may be subject to additional laws and regulations that may affect how we conduct business. The cost of compliance with these laws, regulations and standards is high and is likely to increase in the future. Any failure or perceived failure by us or our collaborators, service providers and contractors to comply with federal, state or foreign laws or regulation, our internal policies and procedures or our contracts governing processing of personal information could result in negative publicity, diversion of management time and effort and proceedings against us by governmental entities or others. In many jurisdictions, enforcement actions and consequences for noncompliance are rising.</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operations could be subject to earthquakes, power shortages, telecommunications failures, water shortages, floods, hurricanes, typhoons, fires, extreme weather conditions, medical epidemics and pandemics, and other natural or manmade disasters or business interruptions, for which we are predominantly self-insured.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Our corporate headquarters and laboratory are located in the San Francisco Bay Area. This location has in the past experienced severe earthquakes and other natural disasters. Earthquakes, extreme weather conditions, or other natural disasters, power-shortages, telecommunications failures, fires, medical epidemics and pandemics, and other natural or manmade disasters could severely disrupt our operations or those of our collaboration partners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could have a material adverse effect on our business.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any of our suppliers of the drug substance we use for the development of our product candidates are unable to provide such drug substance, our business could be disrupted and seriously harmed.</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We currently rely on several different manufacturers who supply different parts of the ciforadenant molecule and soquelitinib molecule, on one manufacturer for mupadolimab drug substance and on other third-party manufacturers to produce our other product candidates. Our ability to obtain clinical supplies of soquelitinib, ciforadenant and mupadolimab or our other product candidates could be disrupted if the operations of these suppliers were affected by a man-made or natural disaster or other business interruption. The occurrence of any of these business disruptions could seriously harm our operations and financial condition and increase our costs and expenses</w:t>
      </w:r>
      <w:r>
        <w:rPr>
          <w:rFonts w:ascii="Times New Roman;Times;serif" w:hAnsi="Times New Roman;Times;serif"/>
          <w:sz w:val="24"/>
        </w:rPr>
        <w:t>.</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Our ability to use net operating loss carryforwards and other tax attributes may be limited.</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 xml:space="preserve">We have incurred substantial losses during our history and do not expect to become profitable in the near future, and we may never achieve profitability. Generally, to the extent that we continue to generate taxable losses, unused losses will carry forward to offset future taxable income, if any, until such unused losses expire. As of December 31, 2025, we had federal net operating loss (“NOL”) carryforwards of approximately $285.9 million and state NOL carryforwards of approximately $353.7 million available to offset future taxable income. If not utilized, certain of our federal and state NOL carryforwards will begin to expire in various years beginning in 2035. As of December 31, 2025, we also had $11.1 million of federal research and development tax credit, $1.5 million of federal orphan drug credit, and </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$5.8 million of state research and development tax credit carryforwards available to offset future income taxes. The federal research and development tax credits will begin to expire in 2036, if not utilized. The state research and development tax credits have no expiration date. Utilization of NOL carryforwards and credits may be subject to an annual limitation due to the “ownership change” provisions under Sections 382 and 383 of the Internal Revenue Code of 1986, as amended (the “Code”). An “ownership change” is generally defined as a cumulative change in stock ownership of certain significant stockholders over a rolling three year period in excess of 50 percentage points by value. Similar provisions under state tax law may also apply. We may have experienced ownership changes in the past, and we may experience ownership changes in the future as a result of subsequent shifts in our stock ownership, some of which may be outside our control. Such ownership changes could result in the expiration of certain of our NOL carryforwards and other tax attributes before they can be utilized. As a result, even if we attain profitability, we may be unable to use a material portion of our NOL carryforwards and other tax attributes to offset future taxable income.</w:t>
      </w:r>
    </w:p>
    <w:p>
      <w:pPr>
        <w:pStyle w:val="TextBody"/>
        <w:bidi w:val="0"/>
        <w:spacing w:lineRule="auto" w:line="285" w:before="0" w:after="240"/>
        <w:ind w:left="0" w:right="0" w:firstLine="720"/>
        <w:jc w:val="left"/>
        <w:rPr>
          <w:rFonts w:ascii="Times New Roman;Times;serif" w:hAnsi="Times New Roman;Times;serif"/>
          <w:sz w:val="20"/>
        </w:rPr>
      </w:pPr>
      <w:r>
        <w:rPr>
          <w:rFonts w:ascii="Times New Roman;Times;serif" w:hAnsi="Times New Roman;Times;serif"/>
          <w:sz w:val="20"/>
        </w:rPr>
        <w:t>Additionally, under the Tax Act, as modified by the Coronavirus Aid, Relief, and Economic Security Act (the “CARES Act”), NOL carryforwards arising in tax years beginning after December 31, 2020 are limited to 80% of taxable income. Under the Tax Act, federal NOL carryforwards arising in tax years beginning after December 31, 2017 may be carried forward indefinitely. Under the CARES Act, federal NOL carryforwards arising in tax years beginning after December 31, 2017 and before January 1, 2021 may be carried back to each of the five tax years preceding the tax year of such loss. The changes in the carryforward and carryback periods as well as the limitation on use of NOL carryforwards may significantly impact our ability to use NOL carryforwards, particularly for tax years beginning after December 31, 2020, as well as the timing of any such use, and could adversely affect our results of operations.</w:t>
      </w:r>
    </w:p>
    <w:p>
      <w:pPr>
        <w:pStyle w:val="TextBody"/>
        <w:bidi w:val="0"/>
        <w:spacing w:lineRule="auto" w:line="285" w:before="0" w:after="240"/>
        <w:ind w:left="0" w:right="0" w:hanging="0"/>
        <w:jc w:val="left"/>
        <w:rPr>
          <w:rFonts w:ascii="Times New Roman;Times;serif" w:hAnsi="Times New Roman;Times;serif"/>
          <w:b/>
          <w:i/>
          <w:sz w:val="20"/>
        </w:rPr>
      </w:pPr>
      <w:r>
        <w:rPr>
          <w:rFonts w:ascii="Times New Roman;Times;serif" w:hAnsi="Times New Roman;Times;serif"/>
          <w:b/>
          <w:i/>
          <w:sz w:val="20"/>
        </w:rPr>
        <w:t>If securities or industry analysts do not publish research or reports or publish unfavorable research or reports about our business, our stock price and trading volume could decline.</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results of operations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1222" w:name="Item2UnregisteredSalesofEquitySecurities"/>
      <w:bookmarkStart w:id="1223" w:name="_0a66a95b_3a6c_489d_ade2_62e609a97f41"/>
      <w:bookmarkEnd w:id="1222"/>
      <w:bookmarkEnd w:id="1223"/>
      <w:r>
        <w:rPr>
          <w:rFonts w:ascii="Times New Roman;Times;serif" w:hAnsi="Times New Roman;Times;serif"/>
          <w:b/>
          <w:sz w:val="20"/>
        </w:rPr>
        <w:t>Item 2.</w:t>
      </w:r>
      <w:r>
        <w:rPr>
          <w:rFonts w:ascii="Times New Roman;Times;serif" w:hAnsi="Times New Roman;Times;serif"/>
          <w:sz w:val="20"/>
        </w:rPr>
        <w:t>   </w:t>
      </w:r>
      <w:r>
        <w:rPr>
          <w:rFonts w:ascii="Times New Roman;Times;serif" w:hAnsi="Times New Roman;Times;serif"/>
          <w:b/>
          <w:sz w:val="20"/>
        </w:rPr>
        <w:t>Unregistered Sales of Equity Securities and Use of Proceeds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Recent Sales of Unregistered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Use of Proceeds from Registered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Repurchases of Shares or of Company Equity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1224" w:name="Item3DefaultsUponSeniorSecurities_526790"/>
      <w:bookmarkStart w:id="1225" w:name="_25a960d5_bfba_41ee_8086_8363355f90d8"/>
      <w:bookmarkEnd w:id="1224"/>
      <w:bookmarkEnd w:id="1225"/>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3.</w:t>
      </w:r>
      <w:r>
        <w:rPr>
          <w:rFonts w:ascii="Times New Roman;Times;serif" w:hAnsi="Times New Roman;Times;serif"/>
          <w:sz w:val="20"/>
        </w:rPr>
        <w:t>   </w:t>
      </w:r>
      <w:r>
        <w:rPr>
          <w:rFonts w:ascii="Times New Roman;Times;serif" w:hAnsi="Times New Roman;Times;serif"/>
          <w:b/>
          <w:sz w:val="20"/>
        </w:rPr>
        <w:t>Defaults Upon Senior Securities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None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1226" w:name="Item4MineSafetyDisclosures_600075"/>
      <w:bookmarkStart w:id="1227" w:name="_98d54856_8c2e_4729_8120_def263fbad59"/>
      <w:bookmarkEnd w:id="1226"/>
      <w:bookmarkEnd w:id="1227"/>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4.</w:t>
      </w:r>
      <w:r>
        <w:rPr>
          <w:rFonts w:ascii="Times New Roman;Times;serif" w:hAnsi="Times New Roman;Times;serif"/>
          <w:sz w:val="20"/>
        </w:rPr>
        <w:t>   </w:t>
      </w:r>
      <w:r>
        <w:rPr>
          <w:rFonts w:ascii="Times New Roman;Times;serif" w:hAnsi="Times New Roman;Times;serif"/>
          <w:b/>
          <w:sz w:val="20"/>
        </w:rPr>
        <w:t>Mine Safety Disclosures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left"/>
        <w:rPr>
          <w:rFonts w:ascii="Times New Roman;Times;serif" w:hAnsi="Times New Roman;Times;serif"/>
          <w:sz w:val="20"/>
        </w:rPr>
      </w:pPr>
      <w:bookmarkStart w:id="1228" w:name="Item5OtherInformation_876990"/>
      <w:bookmarkStart w:id="1229" w:name="_7475031e_56ae_4d44_aca6_fc43ec6e344b"/>
      <w:bookmarkEnd w:id="1228"/>
      <w:bookmarkEnd w:id="1229"/>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5.</w:t>
      </w:r>
      <w:r>
        <w:rPr>
          <w:rFonts w:ascii="Times New Roman;Times;serif" w:hAnsi="Times New Roman;Times;serif"/>
          <w:sz w:val="20"/>
        </w:rPr>
        <w:t>   </w:t>
      </w:r>
      <w:r>
        <w:rPr>
          <w:rFonts w:ascii="Times New Roman;Times;serif" w:hAnsi="Times New Roman;Times;serif"/>
          <w:b/>
          <w:sz w:val="20"/>
        </w:rPr>
        <w:t>Other Information</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b/>
          <w:i/>
          <w:sz w:val="20"/>
        </w:rPr>
      </w:pPr>
      <w:r>
        <w:rPr>
          <w:rFonts w:ascii="Times New Roman;Times;serif" w:hAnsi="Times New Roman;Times;serif"/>
          <w:b/>
          <w:i/>
          <w:sz w:val="20"/>
        </w:rPr>
        <w:t>Rule 10b5-1 Trading Arrangements</w:t>
      </w:r>
    </w:p>
    <w:p>
      <w:pPr>
        <w:pStyle w:val="TextBody"/>
        <w:bidi w:val="0"/>
        <w:spacing w:lineRule="auto" w:line="285" w:before="0" w:after="0"/>
        <w:ind w:left="0" w:right="0" w:firstLine="720"/>
        <w:jc w:val="left"/>
        <w:rPr/>
      </w:pPr>
      <w:r>
        <w:rPr/>
        <w:t>​</w:t>
      </w:r>
    </w:p>
    <w:p>
      <w:pPr>
        <w:pStyle w:val="TextBody"/>
        <w:bidi w:val="0"/>
        <w:spacing w:lineRule="auto" w:line="285" w:before="0" w:after="0"/>
        <w:ind w:left="0" w:right="0" w:firstLine="720"/>
        <w:jc w:val="left"/>
        <w:rPr>
          <w:rFonts w:ascii="Times New Roman;Times;serif" w:hAnsi="Times New Roman;Times;serif"/>
          <w:sz w:val="20"/>
        </w:rPr>
      </w:pPr>
      <w:r>
        <w:rPr>
          <w:rFonts w:ascii="Times New Roman;Times;serif" w:hAnsi="Times New Roman;Times;serif"/>
          <w:sz w:val="20"/>
        </w:rPr>
        <w:t>During the quarter ended June 30, 2026, none of our directors or officers (as defined in Rule 16a-1(f) under the Exchange Act) adopted, modified or terminated a “Rule 10b5-1 trading arrangement” or a “non-Rule 10b5-1 trading arrangement”, as each term is defined in Item 408(a) of Regulation S-K.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bookmarkStart w:id="1230" w:name="Item6Exhibits_350365"/>
      <w:bookmarkStart w:id="1231" w:name="_224e017b_fd73_484e_92c0_79d03f5f5401"/>
      <w:bookmarkEnd w:id="1230"/>
      <w:bookmarkEnd w:id="1231"/>
      <w:r>
        <w:rPr>
          <w:rFonts w:ascii="Times New Roman;Times;serif" w:hAnsi="Times New Roman;Times;serif"/>
          <w:b/>
          <w:sz w:val="20"/>
        </w:rPr>
        <w:t>Item</w:t>
      </w:r>
      <w:r>
        <w:rPr>
          <w:rFonts w:ascii="Times New Roman;Times;serif" w:hAnsi="Times New Roman;Times;serif"/>
          <w:sz w:val="20"/>
        </w:rPr>
        <w:t> </w:t>
      </w:r>
      <w:r>
        <w:rPr>
          <w:rFonts w:ascii="Times New Roman;Times;serif" w:hAnsi="Times New Roman;Times;serif"/>
          <w:b/>
          <w:sz w:val="20"/>
        </w:rPr>
        <w:t>6.</w:t>
      </w:r>
      <w:r>
        <w:rPr>
          <w:rFonts w:ascii="Times New Roman;Times;serif" w:hAnsi="Times New Roman;Times;serif"/>
          <w:sz w:val="20"/>
        </w:rPr>
        <w:t>   </w:t>
      </w:r>
      <w:r>
        <w:rPr>
          <w:rFonts w:ascii="Times New Roman;Times;serif" w:hAnsi="Times New Roman;Times;serif"/>
          <w:b/>
          <w:sz w:val="20"/>
        </w:rPr>
        <w:t>Exhibits</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lineRule="auto" w:line="285"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8"/>
        <w:gridCol w:w="226"/>
        <w:gridCol w:w="5624"/>
        <w:gridCol w:w="226"/>
        <w:gridCol w:w="511"/>
        <w:gridCol w:w="226"/>
        <w:gridCol w:w="664"/>
        <w:gridCol w:w="226"/>
        <w:gridCol w:w="691"/>
        <w:gridCol w:w="226"/>
        <w:gridCol w:w="827"/>
      </w:tblGrid>
      <w:tr>
        <w:trPr/>
        <w:tc>
          <w:tcPr>
            <w:tcW w:w="758"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664"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before="0" w:after="283"/>
              <w:ind w:left="0" w:right="0" w:hanging="0"/>
              <w:jc w:val="left"/>
              <w:rPr>
                <w:sz w:val="4"/>
                <w:szCs w:val="4"/>
              </w:rPr>
            </w:pPr>
            <w:r>
              <w:rPr>
                <w:sz w:val="4"/>
                <w:szCs w:val="4"/>
              </w:rPr>
            </w:r>
          </w:p>
        </w:tc>
        <w:tc>
          <w:tcPr>
            <w:tcW w:w="226" w:type="dxa"/>
            <w:tcBorders/>
            <w:vAlign w:val="center"/>
          </w:tcPr>
          <w:p>
            <w:pPr>
              <w:pStyle w:val="TableContents"/>
              <w:bidi w:val="0"/>
              <w:spacing w:lineRule="auto" w:line="285" w:before="0" w:after="0"/>
              <w:ind w:left="0" w:right="0" w:hanging="0"/>
              <w:jc w:val="left"/>
              <w:rPr/>
            </w:pPr>
            <w:r>
              <w:rPr/>
              <w:t>​</w:t>
            </w:r>
          </w:p>
        </w:tc>
        <w:tc>
          <w:tcPr>
            <w:tcW w:w="827" w:type="dxa"/>
            <w:tcBorders/>
            <w:vAlign w:val="center"/>
          </w:tcPr>
          <w:p>
            <w:pPr>
              <w:pStyle w:val="TableContents"/>
              <w:bidi w:val="0"/>
              <w:spacing w:before="0" w:after="283"/>
              <w:ind w:left="0" w:right="0" w:hanging="0"/>
              <w:jc w:val="left"/>
              <w:rPr>
                <w:sz w:val="4"/>
                <w:szCs w:val="4"/>
              </w:rPr>
            </w:pPr>
            <w:r>
              <w:rPr>
                <w:sz w:val="4"/>
                <w:szCs w:val="4"/>
              </w:rPr>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Exhibit</w:t>
            </w:r>
          </w:p>
        </w:tc>
        <w:tc>
          <w:tcPr>
            <w:tcW w:w="226" w:type="dxa"/>
            <w:tcBorders/>
            <w:vAlign w:val="center"/>
          </w:tcPr>
          <w:p>
            <w:pPr>
              <w:pStyle w:val="TableContents"/>
              <w:bidi w:val="0"/>
              <w:spacing w:lineRule="auto" w:line="285" w:before="0" w:after="0"/>
              <w:ind w:left="0" w:right="0" w:hanging="0"/>
              <w:jc w:val="center"/>
              <w:rPr/>
            </w:pPr>
            <w:r>
              <w:rPr/>
              <w:t>​</w:t>
            </w:r>
          </w:p>
        </w:tc>
        <w:tc>
          <w:tcPr>
            <w:tcW w:w="562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2318" w:type="dxa"/>
            <w:gridSpan w:val="5"/>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Incorporated by Reference</w:t>
            </w:r>
          </w:p>
        </w:tc>
        <w:tc>
          <w:tcPr>
            <w:tcW w:w="2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z w:val="16"/>
              </w:rPr>
              <w:t>Filed</w:t>
            </w:r>
          </w:p>
        </w:tc>
      </w:tr>
      <w:tr>
        <w:trPr/>
        <w:tc>
          <w:tcPr>
            <w:tcW w:w="758" w:type="dxa"/>
            <w:tcBorders>
              <w:bottom w:val="single" w:sz="2" w:space="0" w:color="000000"/>
            </w:tcBorders>
            <w:tcMar>
              <w:bottom w:w="28" w:type="dxa"/>
            </w:tcMar>
            <w:vAlign w:val="center"/>
          </w:tcPr>
          <w:p>
            <w:pPr>
              <w:pStyle w:val="TableContents"/>
              <w:pBdr/>
              <w:bidi w:val="0"/>
              <w:spacing w:lineRule="auto" w:line="285" w:before="0" w:after="0"/>
              <w:ind w:left="0" w:right="0" w:hanging="0"/>
              <w:jc w:val="left"/>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left"/>
              <w:rPr/>
            </w:pPr>
            <w:r>
              <w:rPr/>
              <w:t>  ​</w:t>
            </w:r>
          </w:p>
        </w:tc>
        <w:tc>
          <w:tcPr>
            <w:tcW w:w="562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Exhibit Description</w:t>
            </w:r>
          </w:p>
        </w:tc>
        <w:tc>
          <w:tcPr>
            <w:tcW w:w="226" w:type="dxa"/>
            <w:tcBorders/>
            <w:vAlign w:val="center"/>
          </w:tcPr>
          <w:p>
            <w:pPr>
              <w:pStyle w:val="TableContents"/>
              <w:bidi w:val="0"/>
              <w:spacing w:lineRule="auto" w:line="285" w:before="0" w:after="0"/>
              <w:ind w:left="0" w:right="0" w:hanging="0"/>
              <w:jc w:val="center"/>
              <w:rPr/>
            </w:pPr>
            <w:r>
              <w:rPr/>
              <w:t>  ​</w:t>
            </w:r>
          </w:p>
        </w:tc>
        <w:tc>
          <w:tcPr>
            <w:tcW w:w="51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Form</w:t>
            </w:r>
          </w:p>
        </w:tc>
        <w:tc>
          <w:tcPr>
            <w:tcW w:w="226" w:type="dxa"/>
            <w:tcBorders/>
            <w:vAlign w:val="center"/>
          </w:tcPr>
          <w:p>
            <w:pPr>
              <w:pStyle w:val="TableContents"/>
              <w:bidi w:val="0"/>
              <w:spacing w:lineRule="auto" w:line="285" w:before="0" w:after="0"/>
              <w:ind w:left="0" w:right="0" w:hanging="0"/>
              <w:jc w:val="center"/>
              <w:rPr/>
            </w:pPr>
            <w:r>
              <w:rPr/>
              <w:t>  ​</w:t>
            </w:r>
          </w:p>
        </w:tc>
        <w:tc>
          <w:tcPr>
            <w:tcW w:w="664"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Date</w:t>
            </w:r>
          </w:p>
        </w:tc>
        <w:tc>
          <w:tcPr>
            <w:tcW w:w="226" w:type="dxa"/>
            <w:tcBorders/>
            <w:vAlign w:val="center"/>
          </w:tcPr>
          <w:p>
            <w:pPr>
              <w:pStyle w:val="TableContents"/>
              <w:bidi w:val="0"/>
              <w:spacing w:lineRule="auto" w:line="285" w:before="0" w:after="0"/>
              <w:ind w:left="0" w:right="0" w:hanging="0"/>
              <w:jc w:val="center"/>
              <w:rPr/>
            </w:pPr>
            <w:r>
              <w:rPr/>
              <w:t>  ​</w:t>
            </w:r>
          </w:p>
        </w:tc>
        <w:tc>
          <w:tcPr>
            <w:tcW w:w="69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Number</w:t>
            </w:r>
          </w:p>
        </w:tc>
        <w:tc>
          <w:tcPr>
            <w:tcW w:w="226" w:type="dxa"/>
            <w:tcBorders/>
            <w:vAlign w:val="center"/>
          </w:tcPr>
          <w:p>
            <w:pPr>
              <w:pStyle w:val="TableContents"/>
              <w:bidi w:val="0"/>
              <w:spacing w:lineRule="auto" w:line="285" w:before="0" w:after="0"/>
              <w:ind w:left="0" w:right="0" w:hanging="0"/>
              <w:jc w:val="center"/>
              <w:rPr/>
            </w:pPr>
            <w:r>
              <w:rPr/>
              <w:t>  ​</w:t>
            </w:r>
          </w:p>
        </w:tc>
        <w:tc>
          <w:tcPr>
            <w:tcW w:w="827"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Herewith</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6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691"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827" w:type="dxa"/>
            <w:tcBorders/>
            <w:vAlign w:val="center"/>
          </w:tcPr>
          <w:p>
            <w:pPr>
              <w:pStyle w:val="TableContents"/>
              <w:bidi w:val="0"/>
              <w:spacing w:lineRule="auto" w:line="285" w:before="0" w:after="0"/>
              <w:ind w:left="0" w:right="0" w:hanging="0"/>
              <w:jc w:val="left"/>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hyperlink r:id="rId8">
              <w:r>
                <w:rPr>
                  <w:rStyle w:val="InternetLink"/>
                  <w:rFonts w:ascii="Times New Roman;Times;serif" w:hAnsi="Times New Roman;Times;serif"/>
                  <w:b w:val="false"/>
                  <w:i w:val="false"/>
                  <w:caps w:val="false"/>
                  <w:smallCaps w:val="false"/>
                  <w:sz w:val="20"/>
                </w:rPr>
                <w:t>Amended and Restated Certificate of Incorporation.</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3.1</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hyperlink r:id="rId9">
              <w:r>
                <w:rPr>
                  <w:rStyle w:val="InternetLink"/>
                  <w:rFonts w:ascii="Times New Roman;Times;serif" w:hAnsi="Times New Roman;Times;serif"/>
                  <w:b w:val="false"/>
                  <w:i w:val="false"/>
                  <w:caps w:val="false"/>
                  <w:smallCaps w:val="false"/>
                  <w:sz w:val="20"/>
                </w:rPr>
                <w:t>Amended and Restated Bylaws.</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8-K</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3/29/2016</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3.2</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hyperlink w:anchor="crvs-20260630xex31d1.htm">
              <w:r>
                <w:rPr>
                  <w:rStyle w:val="InternetLink"/>
                  <w:rFonts w:ascii="Times New Roman;Times;serif" w:hAnsi="Times New Roman;Times;serif"/>
                  <w:b w:val="false"/>
                  <w:i w:val="false"/>
                  <w:caps w:val="false"/>
                  <w:smallCaps w:val="false"/>
                  <w:sz w:val="20"/>
                </w:rPr>
                <w:t>Certification of Chief Executive Officer required by Rule 13a-14(a) or Rule 15d-14(a).</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hyperlink w:anchor="crvs-20260630xex31d2.htm">
              <w:r>
                <w:rPr>
                  <w:rStyle w:val="InternetLink"/>
                  <w:rFonts w:ascii="Times New Roman;Times;serif" w:hAnsi="Times New Roman;Times;serif"/>
                  <w:b w:val="false"/>
                  <w:i w:val="false"/>
                  <w:caps w:val="false"/>
                  <w:smallCaps w:val="false"/>
                  <w:sz w:val="20"/>
                </w:rPr>
                <w:t>Certification of Chief Financial Officer required by Rule 13a-14(a) or Rule 15d-14(a).</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hyperlink w:anchor="crvs-20260630xex32d1.htm">
              <w:r>
                <w:rPr>
                  <w:rStyle w:val="InternetLink"/>
                  <w:rFonts w:ascii="Times New Roman;Times;serif" w:hAnsi="Times New Roman;Times;serif"/>
                  <w:b w:val="false"/>
                  <w:i w:val="false"/>
                  <w:caps w:val="false"/>
                  <w:smallCaps w:val="false"/>
                  <w:sz w:val="20"/>
                </w:rPr>
                <w:t>Certification required by Rule 13a-14(b) or Rule 15d-14(b) and Section 1350 of Chapter 63 of Title 18 of the United States Code (18 U.S.C. §1350).</w:t>
              </w:r>
            </w:hyperlink>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XBRL Instance Document - the instance document does not appear in the Interactive Data File because its XBRL tags are embedded within the Inline XBRL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Definitions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r>
        <w:trPr/>
        <w:tc>
          <w:tcPr>
            <w:tcW w:w="758" w:type="dxa"/>
            <w:tcBorders/>
            <w:vAlign w:val="center"/>
          </w:tcPr>
          <w:p>
            <w:pPr>
              <w:pStyle w:val="TableContents"/>
              <w:pBdr/>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pPr>
            <w:r>
              <w:rPr/>
              <w:t>​</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pPr>
            <w:r>
              <w:rPr/>
              <w:t>​</w:t>
            </w:r>
          </w:p>
        </w:tc>
      </w:tr>
      <w:tr>
        <w:trPr/>
        <w:tc>
          <w:tcPr>
            <w:tcW w:w="758"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26" w:type="dxa"/>
            <w:tcBorders/>
            <w:vAlign w:val="center"/>
          </w:tcPr>
          <w:p>
            <w:pPr>
              <w:pStyle w:val="TableContents"/>
              <w:bidi w:val="0"/>
              <w:spacing w:lineRule="auto" w:line="285" w:before="0" w:after="0"/>
              <w:ind w:left="0" w:right="0" w:hanging="0"/>
              <w:jc w:val="left"/>
              <w:rPr/>
            </w:pPr>
            <w:r>
              <w:rPr/>
              <w:t>​</w:t>
            </w:r>
          </w:p>
        </w:tc>
        <w:tc>
          <w:tcPr>
            <w:tcW w:w="5624"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The cover page of Corvus Pharmaceuticals, Inc.’s Quarterly Report on Form 10-Q for the three months ended June 30, 2026, formatted in Inline XBRL (contained in Exhibit 101).</w:t>
            </w:r>
          </w:p>
        </w:tc>
        <w:tc>
          <w:tcPr>
            <w:tcW w:w="226" w:type="dxa"/>
            <w:tcBorders/>
            <w:vAlign w:val="center"/>
          </w:tcPr>
          <w:p>
            <w:pPr>
              <w:pStyle w:val="TableContents"/>
              <w:bidi w:val="0"/>
              <w:spacing w:lineRule="auto" w:line="285" w:before="0" w:after="0"/>
              <w:ind w:left="0" w:right="0" w:hanging="0"/>
              <w:jc w:val="left"/>
              <w:rPr/>
            </w:pPr>
            <w:r>
              <w:rPr/>
              <w:t>​</w:t>
            </w:r>
          </w:p>
        </w:tc>
        <w:tc>
          <w:tcPr>
            <w:tcW w:w="51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64"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691" w:type="dxa"/>
            <w:tcBorders/>
            <w:vAlign w:val="center"/>
          </w:tcPr>
          <w:p>
            <w:pPr>
              <w:pStyle w:val="TableContents"/>
              <w:bidi w:val="0"/>
              <w:spacing w:lineRule="auto" w:line="285" w:before="0" w:after="0"/>
              <w:ind w:left="0" w:right="0" w:hanging="0"/>
              <w:jc w:val="center"/>
              <w:rPr/>
            </w:pPr>
            <w:r>
              <w:rPr/>
              <w:t>​</w:t>
            </w:r>
          </w:p>
        </w:tc>
        <w:tc>
          <w:tcPr>
            <w:tcW w:w="226" w:type="dxa"/>
            <w:tcBorders/>
            <w:vAlign w:val="center"/>
          </w:tcPr>
          <w:p>
            <w:pPr>
              <w:pStyle w:val="TableContents"/>
              <w:bidi w:val="0"/>
              <w:spacing w:lineRule="auto" w:line="285" w:before="0" w:after="0"/>
              <w:ind w:left="0" w:right="0" w:hanging="0"/>
              <w:jc w:val="center"/>
              <w:rPr/>
            </w:pPr>
            <w:r>
              <w:rPr/>
              <w:t>​</w:t>
            </w:r>
          </w:p>
        </w:tc>
        <w:tc>
          <w:tcPr>
            <w:tcW w:w="827"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X</w:t>
            </w:r>
          </w:p>
        </w:tc>
      </w:tr>
    </w:tbl>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lineRule="auto" w:line="285" w:before="0" w:after="0"/>
              <w:jc w:val="left"/>
              <w:rPr>
                <w:rFonts w:ascii="Times New Roman;Times;serif" w:hAnsi="Times New Roman;Times;serif"/>
                <w:sz w:val="20"/>
              </w:rPr>
            </w:pPr>
            <w:r>
              <w:rPr>
                <w:rFonts w:ascii="Times New Roman;Times;serif" w:hAnsi="Times New Roman;Times;serif"/>
                <w:sz w:val="20"/>
              </w:rPr>
              <w:t>The certification attached as Exhibit 32.1 that accompanies this Quarterly Report on Form 10-Q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Quarterly Report on Form 10-Q, irrespective of any general incorporation language contained in such filing.</w:t>
            </w:r>
          </w:p>
        </w:tc>
      </w:tr>
    </w:tbl>
    <w:p>
      <w:pPr>
        <w:pStyle w:val="TextBody"/>
        <w:bidi w:val="0"/>
        <w:spacing w:lineRule="auto" w:line="285" w:before="0" w:after="0"/>
        <w:ind w:left="0" w:right="0" w:hanging="0"/>
        <w:jc w:val="left"/>
        <w:rPr/>
      </w:pPr>
      <w:bookmarkStart w:id="1232" w:name="_013749"/>
      <w:bookmarkEnd w:id="1232"/>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lineRule="auto" w:line="285"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285" w:before="0" w:after="0"/>
        <w:ind w:left="0" w:right="0" w:hanging="0"/>
        <w:jc w:val="center"/>
        <w:rPr>
          <w:rFonts w:ascii="Times New Roman;Times;serif" w:hAnsi="Times New Roman;Times;serif"/>
          <w:b/>
          <w:sz w:val="20"/>
        </w:rPr>
      </w:pPr>
      <w:bookmarkStart w:id="1233" w:name="SIGNATURES_676454"/>
      <w:bookmarkStart w:id="1234" w:name="_b66163ad_f475_4ae0_a1f1_29a161d6ddfc"/>
      <w:bookmarkEnd w:id="1233"/>
      <w:bookmarkEnd w:id="1234"/>
      <w:r>
        <w:rPr>
          <w:rFonts w:ascii="Times New Roman;Times;serif" w:hAnsi="Times New Roman;Times;serif"/>
          <w:b/>
          <w:sz w:val="20"/>
        </w:rPr>
        <w:t>SIGNATURES</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5" w:before="0" w:after="0"/>
        <w:ind w:left="0" w:right="0" w:hanging="0"/>
        <w:jc w:val="left"/>
        <w:rPr/>
      </w:pPr>
      <w:r>
        <w:rPr/>
        <w:t>​</w:t>
      </w:r>
    </w:p>
    <w:tbl>
      <w:tblPr>
        <w:tblW w:w="6213" w:type="dxa"/>
        <w:jc w:val="left"/>
        <w:tblInd w:w="0" w:type="dxa"/>
        <w:tblLayout w:type="fixed"/>
        <w:tblCellMar>
          <w:top w:w="0" w:type="dxa"/>
          <w:left w:w="0" w:type="dxa"/>
          <w:bottom w:w="0" w:type="dxa"/>
          <w:right w:w="0" w:type="dxa"/>
        </w:tblCellMar>
      </w:tblPr>
      <w:tblGrid>
        <w:gridCol w:w="1846"/>
        <w:gridCol w:w="406"/>
        <w:gridCol w:w="3961"/>
      </w:tblGrid>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367" w:type="dxa"/>
            <w:gridSpan w:val="2"/>
            <w:tcBorders/>
            <w:vAlign w:val="center"/>
          </w:tcPr>
          <w:p>
            <w:pPr>
              <w:pStyle w:val="TableContents"/>
              <w:bidi w:val="0"/>
              <w:spacing w:lineRule="auto" w:line="285" w:before="0" w:after="0"/>
              <w:ind w:left="0" w:right="0" w:hanging="0"/>
              <w:jc w:val="left"/>
              <w:rPr>
                <w:rFonts w:ascii="Times New Roman;Times;serif" w:hAnsi="Times New Roman;Times;serif"/>
                <w:b/>
                <w:sz w:val="20"/>
              </w:rPr>
            </w:pPr>
            <w:r>
              <w:rPr>
                <w:rFonts w:ascii="Times New Roman;Times;serif" w:hAnsi="Times New Roman;Times;serif"/>
                <w:b/>
                <w:sz w:val="20"/>
              </w:rPr>
              <w:t>CORVUS PHARMACEUTICALS, INC.</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left"/>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Richard. A. Miller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Richard A. Miller, M.D.</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President, Chief Executive Officer and Director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Executive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pPr>
            <w:r>
              <w:rPr/>
              <w:t>​</w:t>
            </w:r>
          </w:p>
        </w:tc>
      </w:tr>
      <w:tr>
        <w:trPr/>
        <w:tc>
          <w:tcPr>
            <w:tcW w:w="184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406"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6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/s/ Leiv Lea</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Leiv Lea</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lineRule="auto" w:line="285" w:before="0" w:after="0"/>
              <w:ind w:left="0" w:right="0" w:hanging="0"/>
              <w:jc w:val="left"/>
              <w:rPr/>
            </w:pPr>
            <w:r>
              <w:rPr/>
              <w:t>​</w:t>
            </w:r>
          </w:p>
        </w:tc>
        <w:tc>
          <w:tcPr>
            <w:tcW w:w="406" w:type="dxa"/>
            <w:tcBorders/>
            <w:vAlign w:val="center"/>
          </w:tcPr>
          <w:p>
            <w:pPr>
              <w:pStyle w:val="TableContents"/>
              <w:bidi w:val="0"/>
              <w:spacing w:lineRule="auto" w:line="285" w:before="0" w:after="0"/>
              <w:ind w:left="0" w:right="0" w:hanging="0"/>
              <w:jc w:val="left"/>
              <w:rPr/>
            </w:pPr>
            <w:r>
              <w:rPr/>
              <w:t>​</w:t>
            </w:r>
          </w:p>
        </w:tc>
        <w:tc>
          <w:tcPr>
            <w:tcW w:w="3961" w:type="dxa"/>
            <w:tcBorders/>
            <w:vAlign w:val="center"/>
          </w:tcPr>
          <w:p>
            <w:pPr>
              <w:pStyle w:val="TableContents"/>
              <w:bidi w:val="0"/>
              <w:spacing w:lineRule="auto" w:line="285" w:before="0" w:after="0"/>
              <w:ind w:left="0" w:right="0" w:hanging="0"/>
              <w:jc w:val="center"/>
              <w:rPr>
                <w:rFonts w:ascii="Times New Roman;Times;serif" w:hAnsi="Times New Roman;Times;serif"/>
                <w:i/>
                <w:sz w:val="20"/>
              </w:rPr>
            </w:pPr>
            <w:r>
              <w:rPr>
                <w:rFonts w:ascii="Times New Roman;Times;serif" w:hAnsi="Times New Roman;Times;serif"/>
                <w:i/>
                <w:sz w:val="20"/>
              </w:rPr>
              <w:t>(Principal Financial and Accounting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0"/>
        <w:ind w:left="0" w:right="0" w:hanging="0"/>
        <w:jc w:val="right"/>
        <w:rPr>
          <w:rFonts w:ascii="Times New Roman;Times;serif" w:hAnsi="Times New Roman;Times;serif"/>
          <w:b/>
          <w:sz w:val="20"/>
        </w:rPr>
      </w:pPr>
      <w:bookmarkStart w:id="1235" w:name="crvs-20260630xex31d1.htm"/>
      <w:bookmarkStart w:id="1236" w:name="kscrvs20260630xex31d1"/>
      <w:bookmarkEnd w:id="1235"/>
      <w:bookmarkEnd w:id="1236"/>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Richard A. Miller, M.D. President and Chief Executive Officer of Corvus Pharmaceuticals, Inc.,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5688" w:type="dxa"/>
        <w:jc w:val="left"/>
        <w:tblInd w:w="0" w:type="dxa"/>
        <w:tblLayout w:type="fixed"/>
        <w:tblCellMar>
          <w:top w:w="0" w:type="dxa"/>
          <w:left w:w="0" w:type="dxa"/>
          <w:bottom w:w="0" w:type="dxa"/>
          <w:right w:w="0" w:type="dxa"/>
        </w:tblCellMar>
      </w:tblPr>
      <w:tblGrid>
        <w:gridCol w:w="1846"/>
        <w:gridCol w:w="631"/>
        <w:gridCol w:w="3211"/>
      </w:tblGrid>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Richard A. Miller, M.D. </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37" w:name="crvs-20260630xex31d2.htm"/>
      <w:bookmarkStart w:id="1238" w:name="kscrvs20260630xex31d2"/>
      <w:bookmarkEnd w:id="1237"/>
      <w:bookmarkEnd w:id="1238"/>
      <w:r>
        <w:rPr>
          <w:rFonts w:ascii="Times New Roman;Times;serif" w:hAnsi="Times New Roman;Times;serif"/>
          <w:b/>
          <w:sz w:val="20"/>
        </w:rPr>
        <w:t>Exhibit 31.2</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Leiv Lea, Chief Financial Officer of Corvus Pharmaceuticals, Inc., certify that: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1.    I have reviewed this Quarterly Report on Form 10-Q of Corvus Pharmaceuticals, Inc.;</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t>​</w:t>
      </w:r>
    </w:p>
    <w:p>
      <w:pPr>
        <w:pStyle w:val="TextBody"/>
        <w:pBdr/>
        <w:bidi w:val="0"/>
        <w:spacing w:before="0" w:after="0"/>
        <w:ind w:left="360" w:right="0" w:hanging="360"/>
        <w:jc w:val="left"/>
        <w:rPr>
          <w:rFonts w:ascii="Times New Roman;Times;serif" w:hAnsi="Times New Roman;Times;serif"/>
          <w:sz w:val="20"/>
        </w:rPr>
      </w:pPr>
      <w:r>
        <w:rPr>
          <w:rFonts w:ascii="Times New Roman;Times;serif" w:hAnsi="Times New Roman;Times;serif"/>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t>​</w:t>
      </w:r>
    </w:p>
    <w:p>
      <w:pPr>
        <w:pStyle w:val="TextBody"/>
        <w:pBdr/>
        <w:bidi w:val="0"/>
        <w:spacing w:before="0" w:after="0"/>
        <w:ind w:left="1080" w:right="0" w:hanging="360"/>
        <w:jc w:val="left"/>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w:t>
      </w:r>
    </w:p>
    <w:tbl>
      <w:tblPr>
        <w:tblW w:w="6123" w:type="dxa"/>
        <w:jc w:val="left"/>
        <w:tblInd w:w="0" w:type="dxa"/>
        <w:tblLayout w:type="fixed"/>
        <w:tblCellMar>
          <w:top w:w="0" w:type="dxa"/>
          <w:left w:w="0" w:type="dxa"/>
          <w:bottom w:w="0" w:type="dxa"/>
          <w:right w:w="0" w:type="dxa"/>
        </w:tblCellMar>
      </w:tblPr>
      <w:tblGrid>
        <w:gridCol w:w="1846"/>
        <w:gridCol w:w="631"/>
        <w:gridCol w:w="3646"/>
      </w:tblGrid>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pPr>
            <w:r>
              <w:rPr/>
              <w:t>​</w:t>
            </w:r>
          </w:p>
        </w:tc>
      </w:tr>
      <w:tr>
        <w:trPr/>
        <w:tc>
          <w:tcPr>
            <w:tcW w:w="18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4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846"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3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1239" w:name="crvs-20260630xex32d1.htm"/>
      <w:bookmarkStart w:id="1240" w:name="kscrvs20260630xex32d1"/>
      <w:bookmarkEnd w:id="1239"/>
      <w:bookmarkEnd w:id="1240"/>
      <w:r>
        <w:rPr>
          <w:rFonts w:ascii="Times New Roman;Times;serif" w:hAnsi="Times New Roman;Times;serif"/>
          <w:b/>
          <w:sz w:val="20"/>
        </w:rPr>
        <w:t>Exhibit 32.1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SECTION 1350,</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Corvus Pharmaceuticals, Inc. (the “Company”) on Form 10-Q for the fiscal quarter ended June 30, 2026, as filed with the Securities and Exchange Commission on the date hereof (the “Report”), Richard A. Miller, President and Chief Executive Officer of the Company, and Leiv Lea, Chief Financial Officer of the Company, respectively, do each hereby certify, pursuant to 18 U.S.C. Section 1350, as adopted pursuant to Section 906 of the Sarbanes-Oxley Act of 2002, that:</w:t>
      </w:r>
    </w:p>
    <w:p>
      <w:pPr>
        <w:pStyle w:val="TextBody"/>
        <w:bidi w:val="0"/>
        <w:spacing w:before="0" w:after="0"/>
        <w:ind w:left="0" w:right="0" w:hanging="0"/>
        <w:jc w:val="left"/>
        <w:rPr/>
      </w:pPr>
      <w:r>
        <w:rPr/>
        <w:t>​</w:t>
      </w:r>
    </w:p>
    <w:tbl>
      <w:tblPr>
        <w:tblW w:w="9783" w:type="dxa"/>
        <w:jc w:val="left"/>
        <w:tblInd w:w="0" w:type="dxa"/>
        <w:tblLayout w:type="fixed"/>
        <w:tblCellMar>
          <w:top w:w="0" w:type="dxa"/>
          <w:left w:w="0" w:type="dxa"/>
          <w:bottom w:w="0" w:type="dxa"/>
          <w:right w:w="0" w:type="dxa"/>
        </w:tblCellMar>
      </w:tblPr>
      <w:tblGrid>
        <w:gridCol w:w="23"/>
        <w:gridCol w:w="170"/>
        <w:gridCol w:w="9590"/>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of the Securities Exchange Act of 1934; and</w:t>
            </w:r>
          </w:p>
        </w:tc>
      </w:tr>
    </w:tbl>
    <w:p>
      <w:pPr>
        <w:pStyle w:val="TextBody"/>
        <w:bidi w:val="0"/>
        <w:spacing w:before="0" w:after="0"/>
        <w:ind w:left="108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tbl>
      <w:tblPr>
        <w:tblW w:w="3890" w:type="dxa"/>
        <w:jc w:val="left"/>
        <w:tblInd w:w="0" w:type="dxa"/>
        <w:tblLayout w:type="fixed"/>
        <w:tblCellMar>
          <w:top w:w="0" w:type="dxa"/>
          <w:left w:w="0" w:type="dxa"/>
          <w:bottom w:w="0" w:type="dxa"/>
          <w:right w:w="0" w:type="dxa"/>
        </w:tblCellMar>
      </w:tblPr>
      <w:tblGrid>
        <w:gridCol w:w="3736"/>
        <w:gridCol w:w="154"/>
      </w:tblGrid>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Richard A. Miller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Richard A. Miller, M.D.</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Leiv Lea</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Leiv Lea</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6, 2026</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This certification accompanies the Report on Form 10-Q to which it relates, is not deemed filed with the Securities and Exchange Commission and is not to be incorporated by reference into any filing of Corvus Pharmaceuticals, Inc. under the Securities Act of 1933, as amended, or the Securities Exchange Act of 1934, as amended (whether made before or after the date of this Report on Form 10-Q), irrespective of any general incorporation language contained in such filing.</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Courier Ne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hyperlink" Target="http://www.sec.gov/Archives/edgar/data/1626971/000110465916108304/a16-7289_1ex3d1.htm" TargetMode="External"/><Relationship Id="rId9" Type="http://schemas.openxmlformats.org/officeDocument/2006/relationships/hyperlink" Target="http://www.sec.gov/Archives/edgar/data/1626971/000110465916108304/a16-7289_1ex3d2.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51383</Words>
  <Characters>286099</Characters>
  <CharactersWithSpaces>338811</CharactersWithSpaces>
  <Paragraphs>5756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