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January 21, 2026</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716343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3435"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116205</wp:posOffset>
            </wp:positionV>
            <wp:extent cx="716343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135255</wp:posOffset>
            </wp:positionV>
            <wp:extent cx="178752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7525" cy="6350"/>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135890</wp:posOffset>
            </wp:positionV>
            <wp:extent cx="178752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7525" cy="6350"/>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CORVUS PHARMACEUTICALS,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135255</wp:posOffset>
            </wp:positionV>
            <wp:extent cx="178752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7525" cy="635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tbl>
      <w:tblPr>
        <w:tblLayout w:type="fixed"/>
        <w:tblInd w:w="840" w:type="dxa"/>
        <w:tblCellMar>
          <w:top w:w="0" w:type="dxa"/>
          <w:left w:w="0" w:type="dxa"/>
          <w:bottom w:w="0" w:type="dxa"/>
          <w:right w:w="0" w:type="dxa"/>
        </w:tblCellMar>
      </w:tblPr>
      <w:tr>
        <w:trPr>
          <w:trHeight w:val="167"/>
        </w:trPr>
        <w:tc>
          <w:tcPr>
            <w:tcW w:w="2300" w:type="dxa"/>
            <w:vAlign w:val="bottom"/>
          </w:tcPr>
          <w:p>
            <w:pPr>
              <w:spacing w:after="0"/>
              <w:rPr>
                <w:sz w:val="14"/>
                <w:szCs w:val="14"/>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901 Gateway Boulevard, Third Floor</w:t>
            </w:r>
          </w:p>
        </w:tc>
        <w:tc>
          <w:tcPr>
            <w:tcW w:w="186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South San Francisco, CA</w:t>
            </w:r>
          </w:p>
        </w:tc>
        <w:tc>
          <w:tcPr>
            <w:tcW w:w="1860" w:type="dxa"/>
            <w:vAlign w:val="bottom"/>
          </w:tcPr>
          <w:p>
            <w:pPr>
              <w:spacing w:after="0"/>
              <w:rPr>
                <w:sz w:val="14"/>
                <w:szCs w:val="14"/>
                <w:color w:val="auto"/>
              </w:rPr>
            </w:pPr>
          </w:p>
        </w:tc>
      </w:tr>
      <w:tr>
        <w:trPr>
          <w:trHeight w:val="167"/>
        </w:trPr>
        <w:tc>
          <w:tcPr>
            <w:tcW w:w="2300" w:type="dxa"/>
            <w:vAlign w:val="bottom"/>
          </w:tcPr>
          <w:p>
            <w:pPr>
              <w:jc w:val="center"/>
              <w:ind w:right="39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(650) 900-4520</w:t>
            </w:r>
          </w:p>
        </w:tc>
        <w:tc>
          <w:tcPr>
            <w:tcW w:w="1860" w:type="dxa"/>
            <w:vAlign w:val="bottom"/>
          </w:tcPr>
          <w:p>
            <w:pPr>
              <w:jc w:val="center"/>
              <w:ind w:left="391"/>
              <w:spacing w:after="0"/>
              <w:rPr>
                <w:sz w:val="20"/>
                <w:szCs w:val="20"/>
                <w:color w:val="auto"/>
              </w:rPr>
            </w:pPr>
            <w:r>
              <w:rPr>
                <w:rFonts w:ascii="Times New Roman" w:cs="Times New Roman" w:eastAsia="Times New Roman" w:hAnsi="Times New Roman"/>
                <w:sz w:val="14"/>
                <w:szCs w:val="14"/>
                <w:b w:val="1"/>
                <w:bCs w:val="1"/>
                <w:color w:val="auto"/>
              </w:rPr>
              <w:t>46-4670809</w:t>
            </w:r>
          </w:p>
        </w:tc>
      </w:tr>
      <w:tr>
        <w:trPr>
          <w:trHeight w:val="167"/>
        </w:trPr>
        <w:tc>
          <w:tcPr>
            <w:tcW w:w="2300" w:type="dxa"/>
            <w:vAlign w:val="bottom"/>
          </w:tcPr>
          <w:p>
            <w:pPr>
              <w:jc w:val="center"/>
              <w:ind w:right="411"/>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(Address, including zip code, and telephone number, including area code, of</w:t>
            </w:r>
          </w:p>
        </w:tc>
        <w:tc>
          <w:tcPr>
            <w:tcW w:w="1860" w:type="dxa"/>
            <w:vAlign w:val="bottom"/>
          </w:tcPr>
          <w:p>
            <w:pPr>
              <w:jc w:val="center"/>
              <w:ind w:left="391"/>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67"/>
        </w:trPr>
        <w:tc>
          <w:tcPr>
            <w:tcW w:w="2300" w:type="dxa"/>
            <w:vAlign w:val="bottom"/>
          </w:tcPr>
          <w:p>
            <w:pPr>
              <w:jc w:val="center"/>
              <w:ind w:right="411"/>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registrant’s principal executive</w:t>
            </w:r>
          </w:p>
        </w:tc>
        <w:tc>
          <w:tcPr>
            <w:tcW w:w="1860" w:type="dxa"/>
            <w:vAlign w:val="bottom"/>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w w:val="99"/>
              </w:rPr>
              <w:t>Identification Number)</w:t>
            </w:r>
          </w:p>
        </w:tc>
      </w:tr>
      <w:tr>
        <w:trPr>
          <w:trHeight w:val="184"/>
        </w:trPr>
        <w:tc>
          <w:tcPr>
            <w:tcW w:w="2300" w:type="dxa"/>
            <w:vAlign w:val="bottom"/>
          </w:tcPr>
          <w:p>
            <w:pPr>
              <w:spacing w:after="0"/>
              <w:rPr>
                <w:sz w:val="15"/>
                <w:szCs w:val="15"/>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offices)</w:t>
            </w:r>
          </w:p>
        </w:tc>
        <w:tc>
          <w:tcPr>
            <w:tcW w:w="18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132080</wp:posOffset>
            </wp:positionV>
            <wp:extent cx="17875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7525" cy="635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Richard A. Miller, M.D.</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Corvus Pharmaceuticals, Inc.</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901 Gateway Boulevard, Third Floor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South San Francisco, CA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(650) 900-4520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135890</wp:posOffset>
            </wp:positionV>
            <wp:extent cx="17875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7525" cy="635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Kathleen Wells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Latham &amp; Watkins LLP</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140 Scott Drive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Menlo Park, CA 94025</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(650) 328-4600</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6343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pacing w:after="0" w:line="30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204" w:lineRule="exact"/>
        <w:rPr>
          <w:sz w:val="24"/>
          <w:szCs w:val="24"/>
          <w:color w:val="auto"/>
        </w:rPr>
      </w:pPr>
    </w:p>
    <w:p>
      <w:pPr>
        <w:ind w:right="50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30" w:lineRule="exact"/>
        <w:rPr>
          <w:sz w:val="24"/>
          <w:szCs w:val="24"/>
          <w:color w:val="auto"/>
        </w:rPr>
      </w:pPr>
    </w:p>
    <w:p>
      <w:pPr>
        <w:ind w:right="38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(File no. 333-281318)</w:t>
      </w:r>
    </w:p>
    <w:p>
      <w:pPr>
        <w:spacing w:after="0" w:line="130" w:lineRule="exact"/>
        <w:rPr>
          <w:sz w:val="24"/>
          <w:szCs w:val="24"/>
          <w:color w:val="auto"/>
        </w:rPr>
      </w:pPr>
    </w:p>
    <w:p>
      <w:pPr>
        <w:ind w:right="20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0" w:lineRule="exact"/>
        <w:rPr>
          <w:sz w:val="24"/>
          <w:szCs w:val="24"/>
          <w:color w:val="auto"/>
        </w:rPr>
      </w:pPr>
    </w:p>
    <w:p>
      <w:pPr>
        <w:ind w:right="2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30" w:lineRule="exact"/>
        <w:rPr>
          <w:sz w:val="24"/>
          <w:szCs w:val="24"/>
          <w:color w:val="auto"/>
        </w:rPr>
      </w:pPr>
    </w:p>
    <w:p>
      <w:pPr>
        <w:ind w:right="26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30" w:lineRule="exact"/>
        <w:rPr>
          <w:sz w:val="24"/>
          <w:szCs w:val="24"/>
          <w:color w:val="auto"/>
        </w:rPr>
      </w:pPr>
    </w:p>
    <w:p>
      <w:pPr>
        <w:ind w:right="60"/>
        <w:spacing w:after="0" w:line="27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373" w:right="319" w:bottom="1440" w:gutter="0" w:footer="0" w:header="0"/>
        </w:sectPr>
      </w:pPr>
    </w:p>
    <w:p>
      <w:pPr>
        <w:spacing w:after="0" w:line="95" w:lineRule="exact"/>
        <w:rPr>
          <w:sz w:val="24"/>
          <w:szCs w:val="24"/>
          <w:color w:val="auto"/>
        </w:rPr>
      </w:pPr>
    </w:p>
    <w:p>
      <w:pPr>
        <w:ind w:left="1780"/>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85" w:lineRule="exact"/>
        <w:rPr>
          <w:sz w:val="24"/>
          <w:szCs w:val="24"/>
          <w:color w:val="auto"/>
        </w:rPr>
      </w:pPr>
    </w:p>
    <w:p>
      <w:pPr>
        <w:sectPr>
          <w:pgSz w:w="11900" w:h="16838" w:orient="portrait"/>
          <w:cols w:equalWidth="0" w:num="2">
            <w:col w:w="5080" w:space="720"/>
            <w:col w:w="5480"/>
          </w:cols>
          <w:pgMar w:left="300" w:top="373" w:right="319" w:bottom="1440" w:gutter="0" w:footer="0" w:header="0"/>
          <w:type w:val="continuous"/>
        </w:sectPr>
      </w:pPr>
    </w:p>
    <w:p>
      <w:pPr>
        <w:ind w:left="1780"/>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spacing w:after="0" w:line="38"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9" w:lineRule="exact"/>
        <w:rPr>
          <w:sz w:val="24"/>
          <w:szCs w:val="24"/>
          <w:color w:val="auto"/>
        </w:rPr>
      </w:pPr>
    </w:p>
    <w:p>
      <w:pPr>
        <w:sectPr>
          <w:pgSz w:w="11900" w:h="16838" w:orient="portrait"/>
          <w:cols w:equalWidth="0" w:num="2">
            <w:col w:w="5080" w:space="720"/>
            <w:col w:w="5480"/>
          </w:cols>
          <w:pgMar w:left="300" w:top="373" w:right="319" w:bottom="1440" w:gutter="0" w:footer="0" w:header="0"/>
          <w:type w:val="continuous"/>
        </w:sectPr>
      </w:pPr>
    </w:p>
    <w:p>
      <w:pPr>
        <w:ind w:right="4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118745</wp:posOffset>
            </wp:positionV>
            <wp:extent cx="178752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7525" cy="6350"/>
                    </a:xfrm>
                    <a:prstGeom prst="rect">
                      <a:avLst/>
                    </a:prstGeom>
                    <a:noFill/>
                  </pic:spPr>
                </pic:pic>
              </a:graphicData>
            </a:graphic>
          </wp:anchor>
        </w:drawing>
      </w:r>
    </w:p>
    <w:p>
      <w:pPr>
        <w:spacing w:after="0" w:line="390" w:lineRule="exact"/>
        <w:rPr>
          <w:sz w:val="24"/>
          <w:szCs w:val="24"/>
          <w:color w:val="auto"/>
        </w:rPr>
      </w:pPr>
    </w:p>
    <w:p>
      <w:pPr>
        <w:ind w:right="3980"/>
        <w:spacing w:after="0" w:line="282" w:lineRule="auto"/>
        <w:rPr>
          <w:sz w:val="20"/>
          <w:szCs w:val="20"/>
          <w:color w:val="auto"/>
        </w:rPr>
      </w:pPr>
      <w:r>
        <w:rPr>
          <w:rFonts w:ascii="Times New Roman" w:cs="Times New Roman" w:eastAsia="Times New Roman" w:hAnsi="Times New Roman"/>
          <w:sz w:val="14"/>
          <w:szCs w:val="14"/>
          <w:b w:val="1"/>
          <w:bCs w:val="1"/>
          <w:color w:val="auto"/>
        </w:rPr>
        <w:t>This Registration Statement shall become effective upon filing with the Securities and Exchange Commission in accordance with Rule 462(b)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716343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7163435"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372745</wp:posOffset>
            </wp:positionV>
            <wp:extent cx="716343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373" w:right="31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EXPLANATORY NOTE AND INCORPORATION BY REFERENCE</w:t>
      </w:r>
    </w:p>
    <w:p>
      <w:pPr>
        <w:spacing w:after="0" w:line="175" w:lineRule="exact"/>
        <w:rPr>
          <w:sz w:val="20"/>
          <w:szCs w:val="20"/>
          <w:color w:val="auto"/>
        </w:rPr>
      </w:pPr>
    </w:p>
    <w:p>
      <w:pPr>
        <w:ind w:firstLine="500"/>
        <w:spacing w:after="0" w:line="275" w:lineRule="auto"/>
        <w:rPr>
          <w:rFonts w:ascii="Times New Roman" w:cs="Times New Roman" w:eastAsia="Times New Roman" w:hAnsi="Times New Roman"/>
          <w:sz w:val="13"/>
          <w:szCs w:val="13"/>
          <w:color w:val="0000EE"/>
        </w:rPr>
      </w:pPr>
      <w:r>
        <w:rPr>
          <w:rFonts w:ascii="Times New Roman" w:cs="Times New Roman" w:eastAsia="Times New Roman" w:hAnsi="Times New Roman"/>
          <w:sz w:val="13"/>
          <w:szCs w:val="13"/>
          <w:color w:val="auto"/>
        </w:rPr>
        <w:t xml:space="preserve">Pursuant to Rule 462(b) under the Securities Act of 1933, as amended, and General Instruction IV(A) of Form S-3, the registrant is filing this Registration Statement on Form S-3 to register the offer and sale of an additional $1,249,983, or the equivalent thereof, of its (a) shares of the Company’s common stock, $0.0001 par value per share (the “Common Stock”); (b) shares of the Company’s preferred stock, $0.0001 par value per share (the “Preferred Stock”); (c) the Company’s debt securities (the “Debt Securities”); (d) warrants to purchase Common Stock, Preferred Stock or Debt Securities (the “Warrants”); and (e) units consisting of two or more securities described above in any combination (the “Units”) (the Common Stock, the Preferred Stock, the Debt Securities, the </w:t>
      </w:r>
      <w:hyperlink r:id="rId20">
        <w:r>
          <w:rPr>
            <w:rFonts w:ascii="Times New Roman" w:cs="Times New Roman" w:eastAsia="Times New Roman" w:hAnsi="Times New Roman"/>
            <w:sz w:val="13"/>
            <w:szCs w:val="13"/>
            <w:color w:val="auto"/>
          </w:rPr>
          <w:t xml:space="preserve">Warrants and the Units are collectively referred to herein as the “Securities”). This Registration Statement relates to the registrant’s Registration Statement on </w:t>
        </w:r>
        <w:r>
          <w:rPr>
            <w:rFonts w:ascii="Times New Roman" w:cs="Times New Roman" w:eastAsia="Times New Roman" w:hAnsi="Times New Roman"/>
            <w:sz w:val="13"/>
            <w:szCs w:val="13"/>
            <w:u w:val="single" w:color="auto"/>
            <w:color w:val="0000EE"/>
          </w:rPr>
          <w:t>Form S-3 (File No. 333-281318) (the “Prior</w:t>
        </w:r>
      </w:hyperlink>
      <w:r>
        <w:rPr>
          <w:rFonts w:ascii="Times New Roman" w:cs="Times New Roman" w:eastAsia="Times New Roman" w:hAnsi="Times New Roman"/>
          <w:sz w:val="13"/>
          <w:szCs w:val="13"/>
          <w:color w:val="auto"/>
        </w:rPr>
        <w:t xml:space="preserve"> </w:t>
      </w:r>
      <w:hyperlink r:id="rId20">
        <w:r>
          <w:rPr>
            <w:rFonts w:ascii="Times New Roman" w:cs="Times New Roman" w:eastAsia="Times New Roman" w:hAnsi="Times New Roman"/>
            <w:sz w:val="13"/>
            <w:szCs w:val="13"/>
            <w:u w:val="single" w:color="auto"/>
            <w:color w:val="0000EE"/>
          </w:rPr>
          <w:t>Registration Statement”), initially filed on August 6, 2024</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and declared effective by the Securities and Exchange Commission on August 15, 2024. The required opinion and consents are filed herewith.</w:t>
        </w:r>
      </w:hyperlink>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The additional amount of Securities that is being registered for offer and sale represents no more than 20% of the maximum aggregate offering price of the remaining securities available to be sold under the Prior Registration Statement. Pursuant to Rule 462(b), the contents of the Prior Registration Statement, including the exhibits thereto, are incorporated by reference into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317500</wp:posOffset>
            </wp:positionV>
            <wp:extent cx="716343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40"/>
          </w:cols>
          <w:pgMar w:left="300" w:top="72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5"/>
                <w:szCs w:val="15"/>
                <w:color w:val="auto"/>
              </w:rPr>
            </w:pPr>
          </w:p>
        </w:tc>
        <w:tc>
          <w:tcPr>
            <w:tcW w:w="6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2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314"/>
        </w:trPr>
        <w:tc>
          <w:tcPr>
            <w:tcW w:w="180" w:type="dxa"/>
            <w:vAlign w:val="bottom"/>
          </w:tcPr>
          <w:p>
            <w:pPr>
              <w:spacing w:after="0"/>
              <w:rPr>
                <w:rFonts w:ascii="Times New Roman" w:cs="Times New Roman" w:eastAsia="Times New Roman" w:hAnsi="Times New Roman"/>
                <w:sz w:val="14"/>
                <w:szCs w:val="14"/>
                <w:color w:val="0000EE"/>
                <w:w w:val="91"/>
              </w:rPr>
            </w:pPr>
            <w:hyperlink r:id="rId22">
              <w:r>
                <w:rPr>
                  <w:rFonts w:ascii="Times New Roman" w:cs="Times New Roman" w:eastAsia="Times New Roman" w:hAnsi="Times New Roman"/>
                  <w:sz w:val="14"/>
                  <w:szCs w:val="14"/>
                  <w:color w:val="0000EE"/>
                  <w:w w:val="91"/>
                </w:rPr>
                <w:t>5.</w:t>
              </w:r>
              <w:r>
                <w:rPr>
                  <w:rFonts w:ascii="Times New Roman" w:cs="Times New Roman" w:eastAsia="Times New Roman" w:hAnsi="Times New Roman"/>
                  <w:sz w:val="14"/>
                  <w:szCs w:val="14"/>
                  <w:u w:val="single" w:color="auto"/>
                  <w:color w:val="0000EE"/>
                  <w:w w:val="91"/>
                </w:rPr>
                <w:t>1</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80" w:type="dxa"/>
            <w:vAlign w:val="bottom"/>
            <w:gridSpan w:val="8"/>
          </w:tcPr>
          <w:p>
            <w:pPr>
              <w:ind w:left="120"/>
              <w:spacing w:after="0"/>
              <w:rPr>
                <w:rFonts w:ascii="Times New Roman" w:cs="Times New Roman" w:eastAsia="Times New Roman" w:hAnsi="Times New Roman"/>
                <w:sz w:val="14"/>
                <w:szCs w:val="14"/>
                <w:color w:val="0000EE"/>
              </w:rPr>
            </w:pPr>
            <w:hyperlink r:id="rId22">
              <w:r>
                <w:rPr>
                  <w:rFonts w:ascii="Times New Roman" w:cs="Times New Roman" w:eastAsia="Times New Roman" w:hAnsi="Times New Roman"/>
                  <w:sz w:val="14"/>
                  <w:szCs w:val="14"/>
                  <w:color w:val="0000EE"/>
                </w:rPr>
                <w:t>Opinion of Latham &amp; Watkins LLP (incorporated by reference to Exhibit 5.1 to the Prior Registration Statement)</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0000EE"/>
                <w:w w:val="81"/>
              </w:rPr>
              <w:t>23.</w:t>
            </w:r>
            <w:r>
              <w:rPr>
                <w:rFonts w:ascii="Times New Roman" w:cs="Times New Roman" w:eastAsia="Times New Roman" w:hAnsi="Times New Roman"/>
                <w:sz w:val="14"/>
                <w:szCs w:val="14"/>
                <w:u w:val="single" w:color="auto"/>
                <w:color w:val="0000EE"/>
                <w:w w:val="81"/>
              </w:rPr>
              <w:t>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80" w:type="dxa"/>
            <w:vAlign w:val="bottom"/>
            <w:gridSpan w:val="8"/>
          </w:tcPr>
          <w:p>
            <w:pPr>
              <w:ind w:left="120"/>
              <w:spacing w:after="0" w:line="157" w:lineRule="exact"/>
              <w:rPr>
                <w:sz w:val="20"/>
                <w:szCs w:val="20"/>
                <w:color w:val="auto"/>
              </w:rPr>
            </w:pPr>
            <w:r>
              <w:rPr>
                <w:rFonts w:ascii="Times New Roman" w:cs="Times New Roman" w:eastAsia="Times New Roman" w:hAnsi="Times New Roman"/>
                <w:sz w:val="14"/>
                <w:szCs w:val="14"/>
                <w:color w:val="0000EE"/>
              </w:rPr>
              <w:t>Consent of Independent Registered Public Accounting Firm</w:t>
            </w:r>
          </w:p>
        </w:tc>
        <w:tc>
          <w:tcPr>
            <w:tcW w:w="0" w:type="dxa"/>
            <w:vAlign w:val="bottom"/>
          </w:tcPr>
          <w:p>
            <w:pPr>
              <w:spacing w:after="0"/>
              <w:rPr>
                <w:sz w:val="1"/>
                <w:szCs w:val="1"/>
                <w:color w:val="auto"/>
              </w:rPr>
            </w:pPr>
          </w:p>
        </w:tc>
      </w:tr>
      <w:tr>
        <w:trPr>
          <w:trHeight w:val="20"/>
        </w:trPr>
        <w:tc>
          <w:tcPr>
            <w:tcW w:w="2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40" w:type="dxa"/>
            <w:vAlign w:val="bottom"/>
            <w:gridSpan w:val="2"/>
          </w:tcPr>
          <w:p>
            <w:pPr>
              <w:spacing w:after="0" w:line="157" w:lineRule="exact"/>
              <w:rPr>
                <w:rFonts w:ascii="Times New Roman" w:cs="Times New Roman" w:eastAsia="Times New Roman" w:hAnsi="Times New Roman"/>
                <w:sz w:val="14"/>
                <w:szCs w:val="14"/>
                <w:color w:val="0000EE"/>
                <w:w w:val="81"/>
              </w:rPr>
            </w:pPr>
            <w:hyperlink r:id="rId22">
              <w:r>
                <w:rPr>
                  <w:rFonts w:ascii="Times New Roman" w:cs="Times New Roman" w:eastAsia="Times New Roman" w:hAnsi="Times New Roman"/>
                  <w:sz w:val="14"/>
                  <w:szCs w:val="14"/>
                  <w:color w:val="0000EE"/>
                  <w:w w:val="81"/>
                </w:rPr>
                <w:t>23.</w:t>
              </w:r>
              <w:r>
                <w:rPr>
                  <w:rFonts w:ascii="Times New Roman" w:cs="Times New Roman" w:eastAsia="Times New Roman" w:hAnsi="Times New Roman"/>
                  <w:sz w:val="14"/>
                  <w:szCs w:val="14"/>
                  <w:u w:val="single" w:color="auto"/>
                  <w:color w:val="0000EE"/>
                  <w:w w:val="81"/>
                </w:rPr>
                <w:t>2</w:t>
              </w:r>
            </w:hyperlink>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80" w:type="dxa"/>
            <w:vAlign w:val="bottom"/>
            <w:gridSpan w:val="8"/>
          </w:tcPr>
          <w:p>
            <w:pPr>
              <w:ind w:left="120"/>
              <w:spacing w:after="0" w:line="157" w:lineRule="exact"/>
              <w:rPr>
                <w:rFonts w:ascii="Times New Roman" w:cs="Times New Roman" w:eastAsia="Times New Roman" w:hAnsi="Times New Roman"/>
                <w:sz w:val="14"/>
                <w:szCs w:val="14"/>
                <w:color w:val="0000EE"/>
              </w:rPr>
            </w:pPr>
            <w:hyperlink r:id="rId22">
              <w:r>
                <w:rPr>
                  <w:rFonts w:ascii="Times New Roman" w:cs="Times New Roman" w:eastAsia="Times New Roman" w:hAnsi="Times New Roman"/>
                  <w:sz w:val="14"/>
                  <w:szCs w:val="14"/>
                  <w:color w:val="0000EE"/>
                </w:rPr>
                <w:t>Consent of Latham &amp; Watkins LLP (included in Exhibit 5.1)</w:t>
              </w:r>
            </w:hyperlink>
          </w:p>
        </w:tc>
        <w:tc>
          <w:tcPr>
            <w:tcW w:w="0" w:type="dxa"/>
            <w:vAlign w:val="bottom"/>
          </w:tcPr>
          <w:p>
            <w:pPr>
              <w:spacing w:after="0"/>
              <w:rPr>
                <w:sz w:val="1"/>
                <w:szCs w:val="1"/>
                <w:color w:val="auto"/>
              </w:rPr>
            </w:pPr>
          </w:p>
        </w:tc>
      </w:tr>
      <w:tr>
        <w:trPr>
          <w:trHeight w:val="20"/>
        </w:trPr>
        <w:tc>
          <w:tcPr>
            <w:tcW w:w="2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40" w:type="dxa"/>
            <w:vAlign w:val="bottom"/>
            <w:gridSpan w:val="2"/>
          </w:tcPr>
          <w:p>
            <w:pPr>
              <w:spacing w:after="0" w:line="157" w:lineRule="exact"/>
              <w:rPr>
                <w:rFonts w:ascii="Times New Roman" w:cs="Times New Roman" w:eastAsia="Times New Roman" w:hAnsi="Times New Roman"/>
                <w:sz w:val="14"/>
                <w:szCs w:val="14"/>
                <w:color w:val="0000EE"/>
                <w:w w:val="81"/>
              </w:rPr>
            </w:pPr>
            <w:hyperlink r:id="rId23">
              <w:r>
                <w:rPr>
                  <w:rFonts w:ascii="Times New Roman" w:cs="Times New Roman" w:eastAsia="Times New Roman" w:hAnsi="Times New Roman"/>
                  <w:sz w:val="14"/>
                  <w:szCs w:val="14"/>
                  <w:color w:val="0000EE"/>
                  <w:w w:val="81"/>
                </w:rPr>
                <w:t>24.</w:t>
              </w:r>
              <w:r>
                <w:rPr>
                  <w:rFonts w:ascii="Times New Roman" w:cs="Times New Roman" w:eastAsia="Times New Roman" w:hAnsi="Times New Roman"/>
                  <w:sz w:val="14"/>
                  <w:szCs w:val="14"/>
                  <w:u w:val="single" w:color="auto"/>
                  <w:color w:val="0000EE"/>
                  <w:w w:val="81"/>
                </w:rPr>
                <w:t>1</w:t>
              </w:r>
            </w:hyperlink>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80" w:type="dxa"/>
            <w:vAlign w:val="bottom"/>
            <w:gridSpan w:val="8"/>
          </w:tcPr>
          <w:p>
            <w:pPr>
              <w:ind w:left="120"/>
              <w:spacing w:after="0" w:line="157" w:lineRule="exact"/>
              <w:rPr>
                <w:rFonts w:ascii="Times New Roman" w:cs="Times New Roman" w:eastAsia="Times New Roman" w:hAnsi="Times New Roman"/>
                <w:sz w:val="14"/>
                <w:szCs w:val="14"/>
                <w:color w:val="0000EE"/>
              </w:rPr>
            </w:pPr>
            <w:hyperlink r:id="rId23">
              <w:r>
                <w:rPr>
                  <w:rFonts w:ascii="Times New Roman" w:cs="Times New Roman" w:eastAsia="Times New Roman" w:hAnsi="Times New Roman"/>
                  <w:sz w:val="14"/>
                  <w:szCs w:val="14"/>
                  <w:color w:val="0000EE"/>
                </w:rPr>
                <w:t>Power of Attorney (incorporated by reference to Exhibit 24.1 to the Prior Registration Statement)</w:t>
              </w:r>
            </w:hyperlink>
          </w:p>
        </w:tc>
        <w:tc>
          <w:tcPr>
            <w:tcW w:w="0" w:type="dxa"/>
            <w:vAlign w:val="bottom"/>
          </w:tcPr>
          <w:p>
            <w:pPr>
              <w:spacing w:after="0"/>
              <w:rPr>
                <w:sz w:val="1"/>
                <w:szCs w:val="1"/>
                <w:color w:val="auto"/>
              </w:rPr>
            </w:pPr>
          </w:p>
        </w:tc>
      </w:tr>
      <w:tr>
        <w:trPr>
          <w:trHeight w:val="20"/>
        </w:trPr>
        <w:tc>
          <w:tcPr>
            <w:tcW w:w="2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0000EE"/>
                <w:w w:val="81"/>
              </w:rPr>
              <w:t>24.</w:t>
            </w:r>
            <w:r>
              <w:rPr>
                <w:rFonts w:ascii="Times New Roman" w:cs="Times New Roman" w:eastAsia="Times New Roman" w:hAnsi="Times New Roman"/>
                <w:sz w:val="14"/>
                <w:szCs w:val="14"/>
                <w:u w:val="single" w:color="auto"/>
                <w:color w:val="0000EE"/>
                <w:w w:val="81"/>
              </w:rPr>
              <w:t>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80" w:type="dxa"/>
            <w:vAlign w:val="bottom"/>
            <w:gridSpan w:val="8"/>
          </w:tcPr>
          <w:p>
            <w:pPr>
              <w:ind w:left="120"/>
              <w:spacing w:after="0" w:line="157" w:lineRule="exact"/>
              <w:rPr>
                <w:sz w:val="20"/>
                <w:szCs w:val="20"/>
                <w:color w:val="auto"/>
              </w:rPr>
            </w:pPr>
            <w:r>
              <w:rPr>
                <w:rFonts w:ascii="Times New Roman" w:cs="Times New Roman" w:eastAsia="Times New Roman" w:hAnsi="Times New Roman"/>
                <w:sz w:val="14"/>
                <w:szCs w:val="14"/>
                <w:color w:val="0000EE"/>
              </w:rPr>
              <w:t>Power of Attorney (incorporated by reference to the signature page hereto)</w:t>
            </w:r>
          </w:p>
        </w:tc>
        <w:tc>
          <w:tcPr>
            <w:tcW w:w="0" w:type="dxa"/>
            <w:vAlign w:val="bottom"/>
          </w:tcPr>
          <w:p>
            <w:pPr>
              <w:spacing w:after="0"/>
              <w:rPr>
                <w:sz w:val="1"/>
                <w:szCs w:val="1"/>
                <w:color w:val="auto"/>
              </w:rPr>
            </w:pPr>
          </w:p>
        </w:tc>
      </w:tr>
      <w:tr>
        <w:trPr>
          <w:trHeight w:val="20"/>
        </w:trPr>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color w:val="0000EE"/>
                <w:w w:val="95"/>
              </w:rPr>
              <w:t>107.</w:t>
            </w:r>
            <w:r>
              <w:rPr>
                <w:rFonts w:ascii="Times New Roman" w:cs="Times New Roman" w:eastAsia="Times New Roman" w:hAnsi="Times New Roman"/>
                <w:sz w:val="14"/>
                <w:szCs w:val="14"/>
                <w:u w:val="single" w:color="auto"/>
                <w:color w:val="0000EE"/>
                <w:w w:val="95"/>
              </w:rPr>
              <w:t>1</w:t>
            </w:r>
          </w:p>
        </w:tc>
        <w:tc>
          <w:tcPr>
            <w:tcW w:w="480" w:type="dxa"/>
            <w:vAlign w:val="bottom"/>
          </w:tcPr>
          <w:p>
            <w:pPr>
              <w:spacing w:after="0"/>
              <w:rPr>
                <w:sz w:val="13"/>
                <w:szCs w:val="13"/>
                <w:color w:val="auto"/>
              </w:rPr>
            </w:pPr>
          </w:p>
        </w:tc>
        <w:tc>
          <w:tcPr>
            <w:tcW w:w="10480" w:type="dxa"/>
            <w:vAlign w:val="bottom"/>
            <w:gridSpan w:val="8"/>
          </w:tcPr>
          <w:p>
            <w:pPr>
              <w:ind w:left="120"/>
              <w:spacing w:after="0" w:line="157" w:lineRule="exact"/>
              <w:rPr>
                <w:sz w:val="20"/>
                <w:szCs w:val="20"/>
                <w:color w:val="auto"/>
              </w:rPr>
            </w:pPr>
            <w:r>
              <w:rPr>
                <w:rFonts w:ascii="Times New Roman" w:cs="Times New Roman" w:eastAsia="Times New Roman" w:hAnsi="Times New Roman"/>
                <w:sz w:val="14"/>
                <w:szCs w:val="14"/>
                <w:color w:val="0000EE"/>
              </w:rPr>
              <w:t>Filing Fee Table</w:t>
            </w:r>
          </w:p>
        </w:tc>
        <w:tc>
          <w:tcPr>
            <w:tcW w:w="0" w:type="dxa"/>
            <w:vAlign w:val="bottom"/>
          </w:tcPr>
          <w:p>
            <w:pPr>
              <w:spacing w:after="0"/>
              <w:rPr>
                <w:sz w:val="1"/>
                <w:szCs w:val="1"/>
                <w:color w:val="auto"/>
              </w:rPr>
            </w:pPr>
          </w:p>
        </w:tc>
      </w:tr>
      <w:tr>
        <w:trPr>
          <w:trHeight w:val="533"/>
        </w:trPr>
        <w:tc>
          <w:tcPr>
            <w:tcW w:w="1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28"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5" w:lineRule="exact"/>
        <w:rPr>
          <w:sz w:val="20"/>
          <w:szCs w:val="20"/>
          <w:color w:val="auto"/>
        </w:rPr>
      </w:pPr>
    </w:p>
    <w:p>
      <w:pPr>
        <w:ind w:right="280" w:firstLine="500"/>
        <w:spacing w:after="0" w:line="27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California, on January 21, 2026.</w:t>
      </w:r>
    </w:p>
    <w:p>
      <w:pPr>
        <w:spacing w:after="0" w:line="1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Corvus Pharmaceuticals, Inc.</w:t>
      </w:r>
    </w:p>
    <w:p>
      <w:pPr>
        <w:spacing w:after="0" w:line="173" w:lineRule="exact"/>
        <w:rPr>
          <w:sz w:val="20"/>
          <w:szCs w:val="20"/>
          <w:color w:val="auto"/>
        </w:rPr>
      </w:pPr>
    </w:p>
    <w:tbl>
      <w:tblPr>
        <w:tblLayout w:type="fixed"/>
        <w:tblInd w:w="5460" w:type="dxa"/>
        <w:tblCellMar>
          <w:top w:w="0" w:type="dxa"/>
          <w:left w:w="0" w:type="dxa"/>
          <w:bottom w:w="0" w:type="dxa"/>
          <w:right w:w="0" w:type="dxa"/>
        </w:tblCellMar>
      </w:tblPr>
      <w:tr>
        <w:trPr>
          <w:trHeight w:val="18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Richard A. Miller, M.D.</w:t>
            </w:r>
          </w:p>
        </w:tc>
      </w:tr>
      <w:tr>
        <w:trPr>
          <w:trHeight w:val="141"/>
        </w:trPr>
        <w:tc>
          <w:tcPr>
            <w:tcW w:w="660" w:type="dxa"/>
            <w:vAlign w:val="bottom"/>
          </w:tcPr>
          <w:p>
            <w:pPr>
              <w:spacing w:after="0"/>
              <w:rPr>
                <w:sz w:val="12"/>
                <w:szCs w:val="12"/>
                <w:color w:val="auto"/>
              </w:rPr>
            </w:pPr>
          </w:p>
        </w:tc>
        <w:tc>
          <w:tcPr>
            <w:tcW w:w="51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Richard A. Miller, M.D.</w:t>
            </w:r>
          </w:p>
        </w:tc>
      </w:tr>
      <w:tr>
        <w:trPr>
          <w:trHeight w:val="184"/>
        </w:trPr>
        <w:tc>
          <w:tcPr>
            <w:tcW w:w="66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President, Chief Executive Officer and Director</w:t>
            </w:r>
          </w:p>
        </w:tc>
      </w:tr>
    </w:tbl>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tcPr>
          <w:p>
            <w:pPr>
              <w:jc w:val="center"/>
              <w:ind w:right="241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324"/>
        </w:trPr>
        <w:tc>
          <w:tcPr>
            <w:tcW w:w="3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Richard A. Miller, M.D.</w:t>
            </w:r>
          </w:p>
        </w:tc>
        <w:tc>
          <w:tcPr>
            <w:tcW w:w="120" w:type="dxa"/>
            <w:vAlign w:val="bottom"/>
          </w:tcPr>
          <w:p>
            <w:pPr>
              <w:spacing w:after="0"/>
              <w:rPr>
                <w:sz w:val="24"/>
                <w:szCs w:val="24"/>
                <w:color w:val="auto"/>
              </w:rPr>
            </w:pPr>
          </w:p>
        </w:tc>
        <w:tc>
          <w:tcPr>
            <w:tcW w:w="6100" w:type="dxa"/>
            <w:vAlign w:val="bottom"/>
            <w:gridSpan w:val="2"/>
          </w:tcPr>
          <w:p>
            <w:pPr>
              <w:ind w:left="170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1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January 21, 2026</w:t>
            </w:r>
          </w:p>
        </w:tc>
      </w:tr>
      <w:tr>
        <w:trPr>
          <w:trHeight w:val="172"/>
        </w:trPr>
        <w:tc>
          <w:tcPr>
            <w:tcW w:w="3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Richard A. Miller, M.D.</w:t>
            </w:r>
          </w:p>
        </w:tc>
        <w:tc>
          <w:tcPr>
            <w:tcW w:w="120" w:type="dxa"/>
            <w:vAlign w:val="bottom"/>
          </w:tcPr>
          <w:p>
            <w:pPr>
              <w:spacing w:after="0"/>
              <w:rPr>
                <w:sz w:val="14"/>
                <w:szCs w:val="14"/>
                <w:color w:val="auto"/>
              </w:rPr>
            </w:pPr>
          </w:p>
        </w:tc>
        <w:tc>
          <w:tcPr>
            <w:tcW w:w="6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(Principal Executive Officer)</w:t>
            </w: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319"/>
        </w:trPr>
        <w:tc>
          <w:tcPr>
            <w:tcW w:w="3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Leiv Lea</w:t>
            </w:r>
          </w:p>
        </w:tc>
        <w:tc>
          <w:tcPr>
            <w:tcW w:w="120" w:type="dxa"/>
            <w:vAlign w:val="bottom"/>
          </w:tcPr>
          <w:p>
            <w:pPr>
              <w:spacing w:after="0"/>
              <w:rPr>
                <w:sz w:val="24"/>
                <w:szCs w:val="24"/>
                <w:color w:val="auto"/>
              </w:rPr>
            </w:pPr>
          </w:p>
        </w:tc>
        <w:tc>
          <w:tcPr>
            <w:tcW w:w="6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Chief Financial Officer</w:t>
            </w:r>
          </w:p>
        </w:tc>
        <w:tc>
          <w:tcPr>
            <w:tcW w:w="1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January 21, 2026</w:t>
            </w:r>
          </w:p>
        </w:tc>
      </w:tr>
      <w:tr>
        <w:trPr>
          <w:trHeight w:val="132"/>
        </w:trPr>
        <w:tc>
          <w:tcPr>
            <w:tcW w:w="3060" w:type="dxa"/>
            <w:vAlign w:val="bottom"/>
            <w:gridSpan w:val="3"/>
          </w:tcPr>
          <w:p>
            <w:pPr>
              <w:spacing w:after="0" w:line="132" w:lineRule="exact"/>
              <w:rPr>
                <w:sz w:val="20"/>
                <w:szCs w:val="20"/>
                <w:color w:val="auto"/>
              </w:rPr>
            </w:pPr>
            <w:r>
              <w:rPr>
                <w:rFonts w:ascii="Times New Roman" w:cs="Times New Roman" w:eastAsia="Times New Roman" w:hAnsi="Times New Roman"/>
                <w:sz w:val="14"/>
                <w:szCs w:val="14"/>
                <w:color w:val="auto"/>
              </w:rPr>
              <w:t>Leiv Lea</w:t>
            </w:r>
          </w:p>
        </w:tc>
        <w:tc>
          <w:tcPr>
            <w:tcW w:w="120" w:type="dxa"/>
            <w:vAlign w:val="bottom"/>
          </w:tcPr>
          <w:p>
            <w:pPr>
              <w:spacing w:after="0"/>
              <w:rPr>
                <w:sz w:val="11"/>
                <w:szCs w:val="11"/>
                <w:color w:val="auto"/>
              </w:rPr>
            </w:pPr>
          </w:p>
        </w:tc>
        <w:tc>
          <w:tcPr>
            <w:tcW w:w="61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4"/>
                <w:szCs w:val="14"/>
                <w:color w:val="auto"/>
                <w:w w:val="98"/>
              </w:rPr>
              <w:t>(Principal Financial Officer and</w:t>
            </w: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r>
      <w:tr>
        <w:trPr>
          <w:trHeight w:val="182"/>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Principal Accounting Officer)</w:t>
            </w: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3"/>
        </w:trPr>
        <w:tc>
          <w:tcPr>
            <w:tcW w:w="3060" w:type="dxa"/>
            <w:vAlign w:val="bottom"/>
            <w:gridSpan w:val="3"/>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40" w:type="dxa"/>
            <w:vAlign w:val="bottom"/>
          </w:tcPr>
          <w:p>
            <w:pPr>
              <w:jc w:val="center"/>
              <w:ind w:right="2391"/>
              <w:spacing w:after="0"/>
              <w:rPr>
                <w:sz w:val="20"/>
                <w:szCs w:val="20"/>
                <w:color w:val="auto"/>
              </w:rPr>
            </w:pPr>
            <w:r>
              <w:rPr>
                <w:rFonts w:ascii="Times New Roman" w:cs="Times New Roman" w:eastAsia="Times New Roman" w:hAnsi="Times New Roman"/>
                <w:sz w:val="14"/>
                <w:szCs w:val="14"/>
                <w:color w:val="auto"/>
                <w:w w:val="98"/>
              </w:rPr>
              <w:t>Director</w:t>
            </w:r>
          </w:p>
        </w:tc>
        <w:tc>
          <w:tcPr>
            <w:tcW w:w="1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January 21, 2026</w:t>
            </w:r>
          </w:p>
        </w:tc>
      </w:tr>
      <w:tr>
        <w:trPr>
          <w:trHeight w:val="172"/>
        </w:trPr>
        <w:tc>
          <w:tcPr>
            <w:tcW w:w="20" w:type="dxa"/>
            <w:vAlign w:val="bottom"/>
          </w:tcPr>
          <w:p>
            <w:pPr>
              <w:spacing w:after="0"/>
              <w:rPr>
                <w:sz w:val="14"/>
                <w:szCs w:val="14"/>
                <w:color w:val="auto"/>
              </w:rPr>
            </w:pPr>
          </w:p>
        </w:tc>
        <w:tc>
          <w:tcPr>
            <w:tcW w:w="3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Ian T. Clark</w:t>
            </w:r>
          </w:p>
        </w:tc>
        <w:tc>
          <w:tcPr>
            <w:tcW w:w="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319"/>
        </w:trPr>
        <w:tc>
          <w:tcPr>
            <w:tcW w:w="3060" w:type="dxa"/>
            <w:vAlign w:val="bottom"/>
            <w:gridSpan w:val="3"/>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40" w:type="dxa"/>
            <w:vAlign w:val="bottom"/>
          </w:tcPr>
          <w:p>
            <w:pPr>
              <w:jc w:val="center"/>
              <w:ind w:right="2391"/>
              <w:spacing w:after="0"/>
              <w:rPr>
                <w:sz w:val="20"/>
                <w:szCs w:val="20"/>
                <w:color w:val="auto"/>
              </w:rPr>
            </w:pPr>
            <w:r>
              <w:rPr>
                <w:rFonts w:ascii="Times New Roman" w:cs="Times New Roman" w:eastAsia="Times New Roman" w:hAnsi="Times New Roman"/>
                <w:sz w:val="14"/>
                <w:szCs w:val="14"/>
                <w:color w:val="auto"/>
                <w:w w:val="98"/>
              </w:rPr>
              <w:t>Director</w:t>
            </w:r>
          </w:p>
        </w:tc>
        <w:tc>
          <w:tcPr>
            <w:tcW w:w="1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January 21, 2026</w:t>
            </w:r>
          </w:p>
        </w:tc>
      </w:tr>
      <w:tr>
        <w:trPr>
          <w:trHeight w:val="172"/>
        </w:trPr>
        <w:tc>
          <w:tcPr>
            <w:tcW w:w="20" w:type="dxa"/>
            <w:vAlign w:val="bottom"/>
          </w:tcPr>
          <w:p>
            <w:pPr>
              <w:spacing w:after="0"/>
              <w:rPr>
                <w:sz w:val="14"/>
                <w:szCs w:val="14"/>
                <w:color w:val="auto"/>
              </w:rPr>
            </w:pPr>
          </w:p>
        </w:tc>
        <w:tc>
          <w:tcPr>
            <w:tcW w:w="3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Linda S. Grais, M.D., J.D.</w:t>
            </w:r>
          </w:p>
        </w:tc>
        <w:tc>
          <w:tcPr>
            <w:tcW w:w="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319"/>
        </w:trPr>
        <w:tc>
          <w:tcPr>
            <w:tcW w:w="3060" w:type="dxa"/>
            <w:vAlign w:val="bottom"/>
            <w:gridSpan w:val="3"/>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40" w:type="dxa"/>
            <w:vAlign w:val="bottom"/>
          </w:tcPr>
          <w:p>
            <w:pPr>
              <w:jc w:val="center"/>
              <w:ind w:right="2391"/>
              <w:spacing w:after="0"/>
              <w:rPr>
                <w:sz w:val="20"/>
                <w:szCs w:val="20"/>
                <w:color w:val="auto"/>
              </w:rPr>
            </w:pPr>
            <w:r>
              <w:rPr>
                <w:rFonts w:ascii="Times New Roman" w:cs="Times New Roman" w:eastAsia="Times New Roman" w:hAnsi="Times New Roman"/>
                <w:sz w:val="14"/>
                <w:szCs w:val="14"/>
                <w:color w:val="auto"/>
                <w:w w:val="98"/>
              </w:rPr>
              <w:t>Director</w:t>
            </w:r>
          </w:p>
        </w:tc>
        <w:tc>
          <w:tcPr>
            <w:tcW w:w="1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January 21, 2026</w:t>
            </w:r>
          </w:p>
        </w:tc>
      </w:tr>
      <w:tr>
        <w:trPr>
          <w:trHeight w:val="172"/>
        </w:trPr>
        <w:tc>
          <w:tcPr>
            <w:tcW w:w="20" w:type="dxa"/>
            <w:vAlign w:val="bottom"/>
          </w:tcPr>
          <w:p>
            <w:pPr>
              <w:spacing w:after="0"/>
              <w:rPr>
                <w:sz w:val="14"/>
                <w:szCs w:val="14"/>
                <w:color w:val="auto"/>
              </w:rPr>
            </w:pPr>
          </w:p>
        </w:tc>
        <w:tc>
          <w:tcPr>
            <w:tcW w:w="3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Scott W. Morrison</w:t>
            </w:r>
          </w:p>
        </w:tc>
        <w:tc>
          <w:tcPr>
            <w:tcW w:w="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319"/>
        </w:trPr>
        <w:tc>
          <w:tcPr>
            <w:tcW w:w="3060" w:type="dxa"/>
            <w:vAlign w:val="bottom"/>
            <w:gridSpan w:val="3"/>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40" w:type="dxa"/>
            <w:vAlign w:val="bottom"/>
          </w:tcPr>
          <w:p>
            <w:pPr>
              <w:jc w:val="center"/>
              <w:ind w:right="2391"/>
              <w:spacing w:after="0"/>
              <w:rPr>
                <w:sz w:val="20"/>
                <w:szCs w:val="20"/>
                <w:color w:val="auto"/>
              </w:rPr>
            </w:pPr>
            <w:r>
              <w:rPr>
                <w:rFonts w:ascii="Times New Roman" w:cs="Times New Roman" w:eastAsia="Times New Roman" w:hAnsi="Times New Roman"/>
                <w:sz w:val="14"/>
                <w:szCs w:val="14"/>
                <w:color w:val="auto"/>
                <w:w w:val="98"/>
              </w:rPr>
              <w:t>Director</w:t>
            </w:r>
          </w:p>
        </w:tc>
        <w:tc>
          <w:tcPr>
            <w:tcW w:w="1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January 21, 2026</w:t>
            </w:r>
          </w:p>
        </w:tc>
      </w:tr>
      <w:tr>
        <w:trPr>
          <w:trHeight w:val="172"/>
        </w:trPr>
        <w:tc>
          <w:tcPr>
            <w:tcW w:w="20" w:type="dxa"/>
            <w:vAlign w:val="bottom"/>
          </w:tcPr>
          <w:p>
            <w:pPr>
              <w:spacing w:after="0"/>
              <w:rPr>
                <w:sz w:val="14"/>
                <w:szCs w:val="14"/>
                <w:color w:val="auto"/>
              </w:rPr>
            </w:pPr>
          </w:p>
        </w:tc>
        <w:tc>
          <w:tcPr>
            <w:tcW w:w="3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Peter Thompson, M.D.</w:t>
            </w:r>
          </w:p>
        </w:tc>
        <w:tc>
          <w:tcPr>
            <w:tcW w:w="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319"/>
        </w:trPr>
        <w:tc>
          <w:tcPr>
            <w:tcW w:w="3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*By:   /s/ Leiv Lea</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43"/>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Leiv Lea</w:t>
            </w:r>
          </w:p>
        </w:tc>
        <w:tc>
          <w:tcPr>
            <w:tcW w:w="12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Attorney-in-Fact</w:t>
            </w:r>
          </w:p>
        </w:tc>
        <w:tc>
          <w:tcPr>
            <w:tcW w:w="1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00" w:type="dxa"/>
            <w:vAlign w:val="bottom"/>
            <w:gridSpan w:val="2"/>
          </w:tcPr>
          <w:p>
            <w:pPr>
              <w:ind w:left="1680"/>
              <w:spacing w:after="0"/>
              <w:rPr>
                <w:sz w:val="20"/>
                <w:szCs w:val="20"/>
                <w:color w:val="auto"/>
              </w:rPr>
            </w:pPr>
            <w:r>
              <w:rPr>
                <w:rFonts w:ascii="Times New Roman" w:cs="Times New Roman" w:eastAsia="Times New Roman" w:hAnsi="Times New Roman"/>
                <w:sz w:val="14"/>
                <w:szCs w:val="14"/>
                <w:b w:val="1"/>
                <w:bCs w:val="1"/>
                <w:color w:val="auto"/>
              </w:rPr>
              <w:t>POWER OF ATTORNEY</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52" w:lineRule="exact"/>
        <w:rPr>
          <w:sz w:val="20"/>
          <w:szCs w:val="20"/>
          <w:color w:val="auto"/>
        </w:rPr>
      </w:pPr>
    </w:p>
    <w:p>
      <w:pPr>
        <w:ind w:firstLine="340"/>
        <w:spacing w:after="0" w:line="278" w:lineRule="auto"/>
        <w:rPr>
          <w:sz w:val="20"/>
          <w:szCs w:val="20"/>
          <w:color w:val="auto"/>
        </w:rPr>
      </w:pPr>
      <w:r>
        <w:rPr>
          <w:rFonts w:ascii="Times New Roman" w:cs="Times New Roman" w:eastAsia="Times New Roman" w:hAnsi="Times New Roman"/>
          <w:sz w:val="13"/>
          <w:szCs w:val="13"/>
          <w:color w:val="auto"/>
        </w:rPr>
        <w:t>KNOW ALL PERSONS BY THESE PRESENTS, that each person whose signature appears below constitutes and appoints Richard A. Miller and Leiv Lea, or either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29" w:lineRule="exact"/>
        <w:rPr>
          <w:sz w:val="20"/>
          <w:szCs w:val="20"/>
          <w:color w:val="auto"/>
        </w:rPr>
      </w:pPr>
    </w:p>
    <w:p>
      <w:pPr>
        <w:ind w:right="140" w:firstLine="340"/>
        <w:spacing w:after="0" w:line="27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2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color w:val="auto"/>
              </w:rPr>
              <w:t>SIGNATURE</w:t>
            </w:r>
          </w:p>
        </w:tc>
        <w:tc>
          <w:tcPr>
            <w:tcW w:w="100" w:type="dxa"/>
            <w:vAlign w:val="bottom"/>
          </w:tcPr>
          <w:p>
            <w:pPr>
              <w:spacing w:after="0"/>
              <w:rPr>
                <w:sz w:val="15"/>
                <w:szCs w:val="15"/>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DATE</w:t>
            </w:r>
          </w:p>
        </w:tc>
      </w:tr>
      <w:tr>
        <w:trPr>
          <w:trHeight w:val="324"/>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David Moore</w:t>
            </w:r>
          </w:p>
        </w:tc>
        <w:tc>
          <w:tcPr>
            <w:tcW w:w="10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January 21, 2026</w:t>
            </w: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David Moore</w:t>
            </w:r>
          </w:p>
        </w:tc>
        <w:tc>
          <w:tcPr>
            <w:tcW w:w="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19"/>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Richard van den Broek</w:t>
            </w:r>
          </w:p>
        </w:tc>
        <w:tc>
          <w:tcPr>
            <w:tcW w:w="10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January 21, 2026</w:t>
            </w: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Richard van den Broek</w:t>
            </w:r>
          </w:p>
        </w:tc>
        <w:tc>
          <w:tcPr>
            <w:tcW w:w="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506"/>
        </w:trPr>
        <w:tc>
          <w:tcPr>
            <w:tcW w:w="5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8"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our report dated March 25, 2025 relating to the financial statements, which is incorporated by reference in the Registration Statement on Form S-3 (No. 333-281318) of Corvus Pharmaceuticals, Inc. We also consent to the reference to us under the heading “Experts” in the Registration Statement on Form S-3 (No. 333-281318) incorporated by reference in this Registration Statement.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716343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5" w:name="page6"/>
    <w:bookmarkEnd w:id="5"/>
    <w:p>
      <w:pPr>
        <w:spacing w:after="0" w:line="62" w:lineRule="exact"/>
        <w:rPr>
          <w:sz w:val="20"/>
          <w:szCs w:val="20"/>
          <w:color w:val="auto"/>
        </w:rPr>
      </w:pPr>
    </w:p>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8"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5"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Corvus Pharmaceuticals, Inc.</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54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8"/>
              </w:rPr>
              <w:t>Table 1: Newly Registered and Carry Forward Securities</w:t>
            </w:r>
          </w:p>
        </w:tc>
        <w:tc>
          <w:tcPr>
            <w:tcW w:w="8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2"/>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3"/>
        </w:trPr>
        <w:tc>
          <w:tcPr>
            <w:tcW w:w="1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5"/>
              </w:rPr>
              <w:t>Fee</w:t>
            </w:r>
          </w:p>
        </w:tc>
        <w:tc>
          <w:tcPr>
            <w:tcW w:w="90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9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Carry</w:t>
            </w:r>
          </w:p>
        </w:tc>
        <w:tc>
          <w:tcPr>
            <w:tcW w:w="98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4"/>
        </w:trPr>
        <w:tc>
          <w:tcPr>
            <w:tcW w:w="1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1880" w:type="dxa"/>
            <w:vAlign w:val="bottom"/>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Carry</w:t>
            </w:r>
          </w:p>
        </w:tc>
        <w:tc>
          <w:tcPr>
            <w:tcW w:w="7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Carry</w:t>
            </w:r>
          </w:p>
        </w:tc>
        <w:tc>
          <w:tcPr>
            <w:tcW w:w="740" w:type="dxa"/>
            <w:vAlign w:val="bottom"/>
            <w:vMerge w:val="continue"/>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7"/>
        </w:trPr>
        <w:tc>
          <w:tcPr>
            <w:tcW w:w="1860" w:type="dxa"/>
            <w:vAlign w:val="bottom"/>
          </w:tcPr>
          <w:p>
            <w:pPr>
              <w:spacing w:after="0"/>
              <w:rPr>
                <w:sz w:val="14"/>
                <w:szCs w:val="14"/>
                <w:color w:val="auto"/>
              </w:rPr>
            </w:pPr>
          </w:p>
        </w:tc>
        <w:tc>
          <w:tcPr>
            <w:tcW w:w="1780" w:type="dxa"/>
            <w:vAlign w:val="bottom"/>
            <w:gridSpan w:val="2"/>
          </w:tcPr>
          <w:p>
            <w:pPr>
              <w:ind w:left="100"/>
              <w:spacing w:after="0" w:line="167" w:lineRule="exact"/>
              <w:rPr>
                <w:sz w:val="20"/>
                <w:szCs w:val="20"/>
                <w:color w:val="auto"/>
              </w:rPr>
            </w:pPr>
            <w:r>
              <w:rPr>
                <w:rFonts w:ascii="Arial" w:cs="Arial" w:eastAsia="Arial" w:hAnsi="Arial"/>
                <w:sz w:val="17"/>
                <w:szCs w:val="17"/>
                <w:b w:val="1"/>
                <w:bCs w:val="1"/>
                <w:color w:val="auto"/>
              </w:rPr>
              <w:t>Security Calculation</w:t>
            </w:r>
          </w:p>
        </w:tc>
        <w:tc>
          <w:tcPr>
            <w:tcW w:w="900" w:type="dxa"/>
            <w:vAlign w:val="bottom"/>
          </w:tcPr>
          <w:p>
            <w:pPr>
              <w:spacing w:after="0"/>
              <w:rPr>
                <w:sz w:val="14"/>
                <w:szCs w:val="14"/>
                <w:color w:val="auto"/>
              </w:rPr>
            </w:pPr>
          </w:p>
        </w:tc>
        <w:tc>
          <w:tcPr>
            <w:tcW w:w="86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9"/>
              </w:rPr>
              <w:t>Maximum</w:t>
            </w:r>
          </w:p>
        </w:tc>
        <w:tc>
          <w:tcPr>
            <w:tcW w:w="960" w:type="dxa"/>
            <w:vAlign w:val="bottom"/>
            <w:vMerge w:val="continue"/>
          </w:tcPr>
          <w:p>
            <w:pPr>
              <w:spacing w:after="0"/>
              <w:rPr>
                <w:sz w:val="14"/>
                <w:szCs w:val="14"/>
                <w:color w:val="auto"/>
              </w:rPr>
            </w:pPr>
          </w:p>
        </w:tc>
        <w:tc>
          <w:tcPr>
            <w:tcW w:w="1880" w:type="dxa"/>
            <w:vAlign w:val="bottom"/>
          </w:tcPr>
          <w:p>
            <w:pPr>
              <w:jc w:val="center"/>
              <w:ind w:left="757"/>
              <w:spacing w:after="0" w:line="167" w:lineRule="exact"/>
              <w:rPr>
                <w:sz w:val="20"/>
                <w:szCs w:val="20"/>
                <w:color w:val="auto"/>
              </w:rPr>
            </w:pPr>
            <w:r>
              <w:rPr>
                <w:rFonts w:ascii="Arial" w:cs="Arial" w:eastAsia="Arial" w:hAnsi="Arial"/>
                <w:sz w:val="17"/>
                <w:szCs w:val="17"/>
                <w:b w:val="1"/>
                <w:bCs w:val="1"/>
                <w:color w:val="auto"/>
                <w:w w:val="98"/>
              </w:rPr>
              <w:t>Amount of</w:t>
            </w:r>
          </w:p>
        </w:tc>
        <w:tc>
          <w:tcPr>
            <w:tcW w:w="6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60" w:type="dxa"/>
            <w:vAlign w:val="bottom"/>
          </w:tcPr>
          <w:p>
            <w:pPr>
              <w:jc w:val="center"/>
              <w:ind w:left="917"/>
              <w:spacing w:after="0" w:line="188" w:lineRule="exact"/>
              <w:rPr>
                <w:sz w:val="20"/>
                <w:szCs w:val="20"/>
                <w:color w:val="auto"/>
              </w:rPr>
            </w:pPr>
            <w:r>
              <w:rPr>
                <w:rFonts w:ascii="Arial" w:cs="Arial" w:eastAsia="Arial" w:hAnsi="Arial"/>
                <w:sz w:val="17"/>
                <w:szCs w:val="17"/>
                <w:b w:val="1"/>
                <w:bCs w:val="1"/>
                <w:color w:val="auto"/>
                <w:w w:val="98"/>
              </w:rPr>
              <w:t>Security</w:t>
            </w:r>
          </w:p>
        </w:tc>
        <w:tc>
          <w:tcPr>
            <w:tcW w:w="82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rPr>
              <w:t>Class</w:t>
            </w:r>
          </w:p>
        </w:tc>
        <w:tc>
          <w:tcPr>
            <w:tcW w:w="96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6"/>
              </w:rPr>
              <w:t>or Carry</w:t>
            </w:r>
          </w:p>
        </w:tc>
        <w:tc>
          <w:tcPr>
            <w:tcW w:w="90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6"/>
              </w:rPr>
              <w:t>Amount</w:t>
            </w:r>
          </w:p>
        </w:tc>
        <w:tc>
          <w:tcPr>
            <w:tcW w:w="86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96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7"/>
              </w:rPr>
              <w:t>Aggregate</w:t>
            </w:r>
          </w:p>
        </w:tc>
        <w:tc>
          <w:tcPr>
            <w:tcW w:w="1880" w:type="dxa"/>
            <w:vAlign w:val="bottom"/>
          </w:tcPr>
          <w:p>
            <w:pPr>
              <w:ind w:left="80"/>
              <w:spacing w:after="0" w:line="188" w:lineRule="exact"/>
              <w:rPr>
                <w:sz w:val="20"/>
                <w:szCs w:val="20"/>
                <w:color w:val="auto"/>
              </w:rPr>
            </w:pPr>
            <w:r>
              <w:rPr>
                <w:rFonts w:ascii="Arial" w:cs="Arial" w:eastAsia="Arial" w:hAnsi="Arial"/>
                <w:sz w:val="17"/>
                <w:szCs w:val="17"/>
                <w:b w:val="1"/>
                <w:bCs w:val="1"/>
                <w:color w:val="auto"/>
              </w:rPr>
              <w:t>Fee Rate Registration</w:t>
            </w:r>
          </w:p>
        </w:tc>
        <w:tc>
          <w:tcPr>
            <w:tcW w:w="1400" w:type="dxa"/>
            <w:vAlign w:val="bottom"/>
            <w:gridSpan w:val="2"/>
          </w:tcPr>
          <w:p>
            <w:pPr>
              <w:ind w:left="20"/>
              <w:spacing w:after="0" w:line="188" w:lineRule="exact"/>
              <w:rPr>
                <w:sz w:val="20"/>
                <w:szCs w:val="20"/>
                <w:color w:val="auto"/>
              </w:rPr>
            </w:pPr>
            <w:r>
              <w:rPr>
                <w:rFonts w:ascii="Arial" w:cs="Arial" w:eastAsia="Arial" w:hAnsi="Arial"/>
                <w:sz w:val="17"/>
                <w:szCs w:val="17"/>
                <w:b w:val="1"/>
                <w:bCs w:val="1"/>
                <w:color w:val="auto"/>
                <w:w w:val="97"/>
              </w:rPr>
              <w:t>Forward Forward</w:t>
            </w:r>
          </w:p>
        </w:tc>
        <w:tc>
          <w:tcPr>
            <w:tcW w:w="74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8"/>
              </w:rPr>
              <w:t>Initial</w:t>
            </w:r>
          </w:p>
        </w:tc>
        <w:tc>
          <w:tcPr>
            <w:tcW w:w="98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8"/>
        </w:trPr>
        <w:tc>
          <w:tcPr>
            <w:tcW w:w="1860" w:type="dxa"/>
            <w:vAlign w:val="bottom"/>
          </w:tcPr>
          <w:p>
            <w:pPr>
              <w:jc w:val="center"/>
              <w:ind w:left="917"/>
              <w:spacing w:after="0" w:line="188" w:lineRule="exact"/>
              <w:rPr>
                <w:sz w:val="20"/>
                <w:szCs w:val="20"/>
                <w:color w:val="auto"/>
              </w:rPr>
            </w:pPr>
            <w:r>
              <w:rPr>
                <w:rFonts w:ascii="Arial" w:cs="Arial" w:eastAsia="Arial" w:hAnsi="Arial"/>
                <w:sz w:val="17"/>
                <w:szCs w:val="17"/>
                <w:b w:val="1"/>
                <w:bCs w:val="1"/>
                <w:color w:val="auto"/>
                <w:w w:val="95"/>
              </w:rPr>
              <w:t>Type</w:t>
            </w:r>
          </w:p>
        </w:tc>
        <w:tc>
          <w:tcPr>
            <w:tcW w:w="82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7"/>
              </w:rPr>
              <w:t>Title</w:t>
            </w:r>
          </w:p>
        </w:tc>
        <w:tc>
          <w:tcPr>
            <w:tcW w:w="96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90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7"/>
              </w:rPr>
              <w:t>Registered</w:t>
            </w:r>
          </w:p>
        </w:tc>
        <w:tc>
          <w:tcPr>
            <w:tcW w:w="86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7"/>
              </w:rPr>
              <w:t>Price Per</w:t>
            </w:r>
          </w:p>
        </w:tc>
        <w:tc>
          <w:tcPr>
            <w:tcW w:w="96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1880" w:type="dxa"/>
            <w:vAlign w:val="bottom"/>
          </w:tcPr>
          <w:p>
            <w:pPr>
              <w:jc w:val="center"/>
              <w:ind w:left="757"/>
              <w:spacing w:after="0" w:line="188" w:lineRule="exact"/>
              <w:rPr>
                <w:sz w:val="20"/>
                <w:szCs w:val="20"/>
                <w:color w:val="auto"/>
              </w:rPr>
            </w:pPr>
            <w:r>
              <w:rPr>
                <w:rFonts w:ascii="Arial" w:cs="Arial" w:eastAsia="Arial" w:hAnsi="Arial"/>
                <w:sz w:val="17"/>
                <w:szCs w:val="17"/>
                <w:b w:val="1"/>
                <w:bCs w:val="1"/>
                <w:color w:val="auto"/>
                <w:w w:val="95"/>
              </w:rPr>
              <w:t>Fee</w:t>
            </w:r>
          </w:p>
        </w:tc>
        <w:tc>
          <w:tcPr>
            <w:tcW w:w="66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74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rPr>
              <w:t>File</w:t>
            </w:r>
          </w:p>
        </w:tc>
        <w:tc>
          <w:tcPr>
            <w:tcW w:w="74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5"/>
              </w:rPr>
              <w:t>Effective</w:t>
            </w:r>
          </w:p>
        </w:tc>
        <w:tc>
          <w:tcPr>
            <w:tcW w:w="98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jc w:val="center"/>
              <w:spacing w:after="0" w:line="131" w:lineRule="exact"/>
              <w:rPr>
                <w:sz w:val="20"/>
                <w:szCs w:val="20"/>
                <w:color w:val="auto"/>
              </w:rPr>
            </w:pPr>
            <w:r>
              <w:rPr>
                <w:rFonts w:ascii="Arial" w:cs="Arial" w:eastAsia="Arial" w:hAnsi="Arial"/>
                <w:sz w:val="15"/>
                <w:szCs w:val="15"/>
                <w:b w:val="1"/>
                <w:bCs w:val="1"/>
                <w:color w:val="auto"/>
              </w:rPr>
              <w:t>Rule</w:t>
            </w:r>
          </w:p>
        </w:tc>
        <w:tc>
          <w:tcPr>
            <w:tcW w:w="900" w:type="dxa"/>
            <w:vAlign w:val="bottom"/>
          </w:tcPr>
          <w:p>
            <w:pPr>
              <w:spacing w:after="0"/>
              <w:rPr>
                <w:sz w:val="16"/>
                <w:szCs w:val="16"/>
                <w:color w:val="auto"/>
              </w:rPr>
            </w:pPr>
          </w:p>
        </w:tc>
        <w:tc>
          <w:tcPr>
            <w:tcW w:w="860" w:type="dxa"/>
            <w:vAlign w:val="bottom"/>
          </w:tcPr>
          <w:p>
            <w:pPr>
              <w:jc w:val="center"/>
              <w:spacing w:after="0" w:line="131" w:lineRule="exact"/>
              <w:rPr>
                <w:sz w:val="20"/>
                <w:szCs w:val="20"/>
                <w:color w:val="auto"/>
              </w:rPr>
            </w:pPr>
            <w:r>
              <w:rPr>
                <w:rFonts w:ascii="Arial" w:cs="Arial" w:eastAsia="Arial" w:hAnsi="Arial"/>
                <w:sz w:val="15"/>
                <w:szCs w:val="15"/>
                <w:b w:val="1"/>
                <w:bCs w:val="1"/>
                <w:color w:val="auto"/>
              </w:rPr>
              <w:t>Unit</w:t>
            </w:r>
          </w:p>
        </w:tc>
        <w:tc>
          <w:tcPr>
            <w:tcW w:w="96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6"/>
              </w:rPr>
              <w:t>Price</w:t>
            </w:r>
          </w:p>
        </w:tc>
        <w:tc>
          <w:tcPr>
            <w:tcW w:w="1880" w:type="dxa"/>
            <w:vAlign w:val="bottom"/>
          </w:tcPr>
          <w:p>
            <w:pPr>
              <w:spacing w:after="0"/>
              <w:rPr>
                <w:sz w:val="16"/>
                <w:szCs w:val="16"/>
                <w:color w:val="auto"/>
              </w:rPr>
            </w:pPr>
          </w:p>
        </w:tc>
        <w:tc>
          <w:tcPr>
            <w:tcW w:w="66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5"/>
              </w:rPr>
              <w:t>Type</w:t>
            </w:r>
          </w:p>
        </w:tc>
        <w:tc>
          <w:tcPr>
            <w:tcW w:w="74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6"/>
              </w:rPr>
              <w:t>Number</w:t>
            </w:r>
          </w:p>
        </w:tc>
        <w:tc>
          <w:tcPr>
            <w:tcW w:w="740" w:type="dxa"/>
            <w:vAlign w:val="bottom"/>
          </w:tcPr>
          <w:p>
            <w:pPr>
              <w:jc w:val="center"/>
              <w:spacing w:after="0" w:line="131" w:lineRule="exact"/>
              <w:rPr>
                <w:sz w:val="20"/>
                <w:szCs w:val="20"/>
                <w:color w:val="auto"/>
              </w:rPr>
            </w:pPr>
            <w:r>
              <w:rPr>
                <w:rFonts w:ascii="Arial" w:cs="Arial" w:eastAsia="Arial" w:hAnsi="Arial"/>
                <w:sz w:val="15"/>
                <w:szCs w:val="15"/>
                <w:b w:val="1"/>
                <w:bCs w:val="1"/>
                <w:color w:val="auto"/>
              </w:rPr>
              <w:t>Date</w:t>
            </w:r>
          </w:p>
        </w:tc>
        <w:tc>
          <w:tcPr>
            <w:tcW w:w="98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-895985</wp:posOffset>
            </wp:positionV>
            <wp:extent cx="7214235" cy="51968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14235" cy="5196840"/>
                    </a:xfrm>
                    <a:prstGeom prst="rect">
                      <a:avLst/>
                    </a:prstGeom>
                    <a:noFill/>
                  </pic:spPr>
                </pic:pic>
              </a:graphicData>
            </a:graphic>
          </wp:anchor>
        </w:drawing>
      </w:r>
    </w:p>
    <w:p>
      <w:pPr>
        <w:jc w:val="center"/>
        <w:ind w:left="10440"/>
        <w:spacing w:after="0" w:line="181" w:lineRule="auto"/>
        <w:rPr>
          <w:sz w:val="20"/>
          <w:szCs w:val="20"/>
          <w:color w:val="auto"/>
        </w:rPr>
      </w:pPr>
      <w:r>
        <w:rPr>
          <w:rFonts w:ascii="Arial" w:cs="Arial" w:eastAsia="Arial" w:hAnsi="Arial"/>
          <w:sz w:val="15"/>
          <w:szCs w:val="15"/>
          <w:b w:val="1"/>
          <w:bCs w:val="1"/>
          <w:color w:val="auto"/>
        </w:rPr>
        <w:t>to be</w:t>
      </w:r>
    </w:p>
    <w:p>
      <w:pPr>
        <w:jc w:val="center"/>
        <w:ind w:left="10440"/>
        <w:spacing w:after="0" w:line="230" w:lineRule="auto"/>
        <w:rPr>
          <w:sz w:val="20"/>
          <w:szCs w:val="20"/>
          <w:color w:val="auto"/>
        </w:rPr>
      </w:pPr>
      <w:r>
        <w:rPr>
          <w:rFonts w:ascii="Arial" w:cs="Arial" w:eastAsia="Arial" w:hAnsi="Arial"/>
          <w:sz w:val="17"/>
          <w:szCs w:val="17"/>
          <w:b w:val="1"/>
          <w:bCs w:val="1"/>
          <w:color w:val="auto"/>
        </w:rPr>
        <w:t>Carried</w:t>
      </w:r>
    </w:p>
    <w:p>
      <w:pPr>
        <w:spacing w:after="0" w:line="1" w:lineRule="exact"/>
        <w:rPr>
          <w:sz w:val="20"/>
          <w:szCs w:val="20"/>
          <w:color w:val="auto"/>
        </w:rPr>
      </w:pPr>
    </w:p>
    <w:p>
      <w:pPr>
        <w:jc w:val="center"/>
        <w:ind w:left="10440"/>
        <w:spacing w:after="0"/>
        <w:rPr>
          <w:sz w:val="20"/>
          <w:szCs w:val="20"/>
          <w:color w:val="auto"/>
        </w:rPr>
      </w:pPr>
      <w:r>
        <w:rPr>
          <w:rFonts w:ascii="Arial" w:cs="Arial" w:eastAsia="Arial" w:hAnsi="Arial"/>
          <w:sz w:val="17"/>
          <w:szCs w:val="17"/>
          <w:b w:val="1"/>
          <w:bCs w:val="1"/>
          <w:color w:val="auto"/>
        </w:rPr>
        <w:t>Forward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Newly Registered Securities</w:t>
      </w:r>
    </w:p>
    <w:p>
      <w:pPr>
        <w:spacing w:after="0" w:line="34"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Common</w:t>
      </w:r>
    </w:p>
    <w:p>
      <w:pPr>
        <w:ind w:left="1920"/>
        <w:spacing w:after="0"/>
        <w:rPr>
          <w:sz w:val="20"/>
          <w:szCs w:val="20"/>
          <w:color w:val="auto"/>
        </w:rPr>
      </w:pPr>
      <w:r>
        <w:rPr>
          <w:rFonts w:ascii="Arial" w:cs="Arial" w:eastAsia="Arial" w:hAnsi="Arial"/>
          <w:sz w:val="17"/>
          <w:szCs w:val="17"/>
          <w:color w:val="auto"/>
        </w:rPr>
        <w:t>Stock,</w:t>
      </w:r>
    </w:p>
    <w:p>
      <w:pPr>
        <w:ind w:left="1200"/>
        <w:spacing w:after="0"/>
        <w:tabs>
          <w:tab w:leader="none" w:pos="1900" w:val="left"/>
          <w:tab w:leader="none" w:pos="2900" w:val="left"/>
        </w:tabs>
        <w:rPr>
          <w:sz w:val="20"/>
          <w:szCs w:val="20"/>
          <w:color w:val="auto"/>
        </w:rPr>
      </w:pPr>
      <w:r>
        <w:rPr>
          <w:rFonts w:ascii="Arial" w:cs="Arial" w:eastAsia="Arial" w:hAnsi="Arial"/>
          <w:sz w:val="17"/>
          <w:szCs w:val="17"/>
          <w:color w:val="auto"/>
        </w:rPr>
        <w:t>Equity</w:t>
        <w:tab/>
        <w:t>$0.0001</w:t>
      </w:r>
      <w:r>
        <w:rPr>
          <w:sz w:val="20"/>
          <w:szCs w:val="20"/>
          <w:color w:val="auto"/>
        </w:rPr>
        <w:tab/>
      </w:r>
      <w:r>
        <w:rPr>
          <w:rFonts w:ascii="Arial" w:cs="Arial" w:eastAsia="Arial" w:hAnsi="Arial"/>
          <w:sz w:val="16"/>
          <w:szCs w:val="16"/>
          <w:color w:val="auto"/>
        </w:rPr>
        <w:t>457(o)</w:t>
      </w:r>
    </w:p>
    <w:p>
      <w:pPr>
        <w:ind w:left="1920"/>
        <w:spacing w:after="0" w:line="230" w:lineRule="auto"/>
        <w:rPr>
          <w:sz w:val="20"/>
          <w:szCs w:val="20"/>
          <w:color w:val="auto"/>
        </w:rPr>
      </w:pPr>
      <w:r>
        <w:rPr>
          <w:rFonts w:ascii="Arial" w:cs="Arial" w:eastAsia="Arial" w:hAnsi="Arial"/>
          <w:sz w:val="17"/>
          <w:szCs w:val="17"/>
          <w:color w:val="auto"/>
        </w:rPr>
        <w:t>par value</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per share</w:t>
      </w:r>
    </w:p>
    <w:p>
      <w:pPr>
        <w:spacing w:after="0" w:line="18"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Preferred</w:t>
      </w:r>
    </w:p>
    <w:p>
      <w:pPr>
        <w:ind w:left="1920"/>
        <w:spacing w:after="0"/>
        <w:rPr>
          <w:sz w:val="20"/>
          <w:szCs w:val="20"/>
          <w:color w:val="auto"/>
        </w:rPr>
      </w:pPr>
      <w:r>
        <w:rPr>
          <w:rFonts w:ascii="Arial" w:cs="Arial" w:eastAsia="Arial" w:hAnsi="Arial"/>
          <w:sz w:val="17"/>
          <w:szCs w:val="17"/>
          <w:color w:val="auto"/>
        </w:rPr>
        <w:t>Stock,</w:t>
      </w:r>
    </w:p>
    <w:p>
      <w:pPr>
        <w:ind w:left="1200"/>
        <w:spacing w:after="0"/>
        <w:tabs>
          <w:tab w:leader="none" w:pos="1900" w:val="left"/>
          <w:tab w:leader="none" w:pos="2900" w:val="left"/>
        </w:tabs>
        <w:rPr>
          <w:sz w:val="20"/>
          <w:szCs w:val="20"/>
          <w:color w:val="auto"/>
        </w:rPr>
      </w:pPr>
      <w:r>
        <w:rPr>
          <w:rFonts w:ascii="Arial" w:cs="Arial" w:eastAsia="Arial" w:hAnsi="Arial"/>
          <w:sz w:val="17"/>
          <w:szCs w:val="17"/>
          <w:color w:val="auto"/>
        </w:rPr>
        <w:t>Equity</w:t>
        <w:tab/>
        <w:t>$0.0001</w:t>
      </w:r>
      <w:r>
        <w:rPr>
          <w:sz w:val="20"/>
          <w:szCs w:val="20"/>
          <w:color w:val="auto"/>
        </w:rPr>
        <w:tab/>
      </w:r>
      <w:r>
        <w:rPr>
          <w:rFonts w:ascii="Arial" w:cs="Arial" w:eastAsia="Arial" w:hAnsi="Arial"/>
          <w:sz w:val="16"/>
          <w:szCs w:val="16"/>
          <w:color w:val="auto"/>
        </w:rPr>
        <w:t>457(o)</w:t>
      </w:r>
    </w:p>
    <w:p>
      <w:pPr>
        <w:ind w:left="1920"/>
        <w:spacing w:after="0" w:line="230" w:lineRule="auto"/>
        <w:rPr>
          <w:sz w:val="20"/>
          <w:szCs w:val="20"/>
          <w:color w:val="auto"/>
        </w:rPr>
      </w:pPr>
      <w:r>
        <w:rPr>
          <w:rFonts w:ascii="Arial" w:cs="Arial" w:eastAsia="Arial" w:hAnsi="Arial"/>
          <w:sz w:val="17"/>
          <w:szCs w:val="17"/>
          <w:color w:val="auto"/>
        </w:rPr>
        <w:t>par value</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per share</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7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9"/>
              </w:rPr>
              <w:t>Securities</w:t>
            </w: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8"/>
                <w:szCs w:val="18"/>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vMerge w:val="continue"/>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8"/>
                <w:szCs w:val="18"/>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vMerge w:val="continue"/>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7" w:lineRule="exact"/>
              <w:rPr>
                <w:sz w:val="20"/>
                <w:szCs w:val="20"/>
                <w:color w:val="auto"/>
              </w:rPr>
            </w:pPr>
            <w:r>
              <w:rPr>
                <w:rFonts w:ascii="Arial" w:cs="Arial" w:eastAsia="Arial" w:hAnsi="Arial"/>
                <w:sz w:val="17"/>
                <w:szCs w:val="17"/>
                <w:color w:val="auto"/>
                <w:w w:val="97"/>
              </w:rPr>
              <w:t>Unallocated</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(Universal)</w:t>
            </w: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$ 172.62</w:t>
            </w:r>
          </w:p>
        </w:tc>
        <w:tc>
          <w:tcPr>
            <w:tcW w:w="0" w:type="dxa"/>
            <w:vAlign w:val="bottom"/>
          </w:tcPr>
          <w:p>
            <w:pPr>
              <w:spacing w:after="0"/>
              <w:rPr>
                <w:sz w:val="1"/>
                <w:szCs w:val="1"/>
                <w:color w:val="auto"/>
              </w:rPr>
            </w:pPr>
          </w:p>
        </w:tc>
      </w:tr>
      <w:tr>
        <w:trPr>
          <w:trHeight w:val="167"/>
        </w:trPr>
        <w:tc>
          <w:tcPr>
            <w:tcW w:w="78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8"/>
              </w:rPr>
              <w:t>1,249,983.00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ind w:left="20"/>
              <w:spacing w:after="0" w:line="146"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0" w:type="dxa"/>
            <w:vAlign w:val="bottom"/>
            <w:shd w:val="clear" w:color="auto" w:fill="E7E7E2"/>
          </w:tcPr>
          <w:p>
            <w:pPr>
              <w:spacing w:after="0" w:line="177"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jc w:val="right"/>
              <w:ind w:right="437"/>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$ 172.62</w:t>
            </w:r>
          </w:p>
        </w:tc>
        <w:tc>
          <w:tcPr>
            <w:tcW w:w="0" w:type="dxa"/>
            <w:vAlign w:val="bottom"/>
          </w:tcPr>
          <w:p>
            <w:pPr>
              <w:spacing w:after="0"/>
              <w:rPr>
                <w:sz w:val="1"/>
                <w:szCs w:val="1"/>
                <w:color w:val="auto"/>
              </w:rPr>
            </w:pPr>
          </w:p>
        </w:tc>
      </w:tr>
      <w:tr>
        <w:trPr>
          <w:trHeight w:val="221"/>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1,249,983.00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$ 172.62</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2" w:lineRule="exact"/>
        <w:rPr>
          <w:sz w:val="20"/>
          <w:szCs w:val="20"/>
          <w:color w:val="auto"/>
        </w:rPr>
      </w:pPr>
    </w:p>
    <w:p>
      <w:pPr>
        <w:ind w:left="220" w:right="140"/>
        <w:spacing w:after="0" w:line="236" w:lineRule="auto"/>
        <w:rPr>
          <w:sz w:val="20"/>
          <w:szCs w:val="20"/>
          <w:color w:val="auto"/>
        </w:rPr>
      </w:pPr>
      <w:r>
        <w:rPr>
          <w:rFonts w:ascii="Arial" w:cs="Arial" w:eastAsia="Arial" w:hAnsi="Arial"/>
          <w:sz w:val="17"/>
          <w:szCs w:val="17"/>
          <w:color w:val="auto"/>
        </w:rPr>
        <w:t>1.a. The registrant previously registered the offer and sale of certain securities having a proposed maximum aggregate offering price of $200,000,000 pursuant to a Registration Statement on Form S-3 (File No. 333-281318) (the "Prior Registration Statement"), which was initially filed on August 6, 2024 and declared effective by the Securities and Exchange Commission on August 15, 2024. As of the date hereof, a balance of $200,000,000 of such securities remains unsold under the Prior Registration Statement. In accordance with Rule 462(b) under the Securities Act of 1933, as amended, and General Instruction IV(A) of Form S-3, the registrant is hereby registering the offer and sale of an additional $1,249,983.00 of its securities. The additional amount of securities that is being registered for offer and sale represents no more than 20% of the maximum aggregate offering price of the remaining securities available to be sold under the Prior Registration Statement.</w:t>
      </w:r>
    </w:p>
    <w:p>
      <w:pPr>
        <w:spacing w:after="0" w:line="156" w:lineRule="exact"/>
        <w:rPr>
          <w:sz w:val="20"/>
          <w:szCs w:val="20"/>
          <w:color w:val="auto"/>
        </w:rPr>
      </w:pPr>
    </w:p>
    <w:p>
      <w:pPr>
        <w:ind w:left="220" w:right="120"/>
        <w:spacing w:after="0" w:line="246" w:lineRule="auto"/>
        <w:rPr>
          <w:sz w:val="20"/>
          <w:szCs w:val="20"/>
          <w:color w:val="auto"/>
        </w:rPr>
      </w:pPr>
      <w:r>
        <w:rPr>
          <w:rFonts w:ascii="Arial" w:cs="Arial" w:eastAsia="Arial" w:hAnsi="Arial"/>
          <w:sz w:val="17"/>
          <w:szCs w:val="17"/>
          <w:color w:val="auto"/>
        </w:rPr>
        <w:t>1.b. The proposed maximum aggregate offering price per class of security will be determined from time to time by the registrant in connection with the issuance by the registrant of the securities covered by this registration statement and is not specified as to each class of security pursuant to Instruction 2.A.ii.b to Item 16(b) of Form S-3 under the Securities Act.</w:t>
      </w:r>
    </w:p>
    <w:p>
      <w:pPr>
        <w:spacing w:after="0" w:line="150" w:lineRule="exact"/>
        <w:rPr>
          <w:sz w:val="20"/>
          <w:szCs w:val="20"/>
          <w:color w:val="auto"/>
        </w:rPr>
      </w:pPr>
    </w:p>
    <w:p>
      <w:pPr>
        <w:ind w:left="220" w:right="200"/>
        <w:spacing w:after="0" w:line="246" w:lineRule="auto"/>
        <w:rPr>
          <w:sz w:val="20"/>
          <w:szCs w:val="20"/>
          <w:color w:val="auto"/>
        </w:rPr>
      </w:pPr>
      <w:r>
        <w:rPr>
          <w:rFonts w:ascii="Arial" w:cs="Arial" w:eastAsia="Arial" w:hAnsi="Arial"/>
          <w:sz w:val="17"/>
          <w:szCs w:val="17"/>
          <w:color w:val="auto"/>
        </w:rPr>
        <w:t>1.c. Estimated solely for the purpose of calculating the registration fee. Separate consideration may or may not be received for shares of common stock that are issuable upon the conversion or exercise of or in exchange for other securities registered hereunder. The aggregate maximum offering price of all securities issued by the Company pursuant to this registration statement will not exceed $1,249,983.00.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175260</wp:posOffset>
            </wp:positionV>
            <wp:extent cx="71494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336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4"/>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9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6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7"/>
          </w:tcPr>
          <w:p>
            <w:pPr>
              <w:ind w:left="560"/>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40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6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1" w:right="239" w:bottom="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6"/>
                <w:szCs w:val="16"/>
                <w:color w:val="auto"/>
              </w:rPr>
            </w:pPr>
          </w:p>
        </w:tc>
        <w:tc>
          <w:tcPr>
            <w:tcW w:w="8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N/A</w:t>
            </w: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ind w:left="18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50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ind w:left="1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80" w:type="dxa"/>
            <w:vAlign w:val="bottom"/>
            <w:tcBorders>
              <w:left w:val="single" w:sz="8" w:color="E7E7E2"/>
            </w:tcBorders>
            <w:shd w:val="clear" w:color="auto" w:fill="E7E7E2"/>
          </w:tcPr>
          <w:p>
            <w:pPr>
              <w:spacing w:after="0"/>
              <w:rPr>
                <w:sz w:val="16"/>
                <w:szCs w:val="16"/>
                <w:color w:val="auto"/>
              </w:rPr>
            </w:pPr>
          </w:p>
        </w:tc>
        <w:tc>
          <w:tcPr>
            <w:tcW w:w="300" w:type="dxa"/>
            <w:vAlign w:val="bottom"/>
            <w:gridSpan w:val="2"/>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280" w:type="dxa"/>
            <w:vAlign w:val="bottom"/>
            <w:shd w:val="clear" w:color="auto" w:fill="E7E7E2"/>
          </w:tcPr>
          <w:p>
            <w:pPr>
              <w:ind w:left="20"/>
              <w:spacing w:after="0"/>
              <w:rPr>
                <w:sz w:val="20"/>
                <w:szCs w:val="20"/>
                <w:color w:val="auto"/>
              </w:rPr>
            </w:pPr>
            <w:r>
              <w:rPr>
                <w:rFonts w:ascii="Arial" w:cs="Arial" w:eastAsia="Arial" w:hAnsi="Arial"/>
                <w:sz w:val="17"/>
                <w:szCs w:val="17"/>
                <w:color w:val="auto"/>
                <w:w w:val="84"/>
              </w:rPr>
              <w:t>N/A</w:t>
            </w: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300" w:type="dxa"/>
            <w:vAlign w:val="bottom"/>
            <w:gridSpan w:val="3"/>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660" w:type="dxa"/>
            <w:vAlign w:val="bottom"/>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tcBorders>
              <w:right w:val="single" w:sz="8" w:color="E7E7E2"/>
            </w:tcBorders>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40" w:type="dxa"/>
            <w:vAlign w:val="bottom"/>
            <w:tcBorders>
              <w:lef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180" w:type="dxa"/>
            <w:vAlign w:val="bottom"/>
            <w:gridSpan w:val="5"/>
            <w:vMerge w:val="restart"/>
          </w:tcPr>
          <w:p>
            <w:pPr>
              <w:ind w:left="300"/>
              <w:spacing w:after="0"/>
              <w:rPr>
                <w:sz w:val="20"/>
                <w:szCs w:val="20"/>
                <w:color w:val="auto"/>
              </w:rPr>
            </w:pPr>
            <w:r>
              <w:rPr>
                <w:rFonts w:ascii="Arial" w:cs="Arial" w:eastAsia="Arial" w:hAnsi="Arial"/>
                <w:sz w:val="17"/>
                <w:szCs w:val="17"/>
                <w:b w:val="1"/>
                <w:bCs w:val="1"/>
                <w:color w:val="auto"/>
                <w:w w:val="91"/>
              </w:rPr>
              <w:t>Rule 457(p)</w:t>
            </w:r>
          </w:p>
        </w:tc>
        <w:tc>
          <w:tcPr>
            <w:tcW w:w="380" w:type="dxa"/>
            <w:vAlign w:val="bottom"/>
            <w:tcBorders>
              <w:left w:val="single" w:sz="8" w:color="E7E7E2"/>
            </w:tcBorders>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2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shd w:val="clear" w:color="auto" w:fill="E7E7E2"/>
          </w:tcPr>
          <w:p>
            <w:pPr>
              <w:spacing w:after="0"/>
              <w:rPr>
                <w:sz w:val="9"/>
                <w:szCs w:val="9"/>
                <w:color w:val="auto"/>
              </w:rPr>
            </w:pPr>
          </w:p>
        </w:tc>
        <w:tc>
          <w:tcPr>
            <w:tcW w:w="6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3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0" w:type="dxa"/>
            <w:vAlign w:val="bottom"/>
            <w:tcBorders>
              <w:lef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5"/>
                <w:szCs w:val="15"/>
                <w:color w:val="auto"/>
              </w:rPr>
            </w:pPr>
          </w:p>
        </w:tc>
        <w:tc>
          <w:tcPr>
            <w:tcW w:w="8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ind w:left="18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ind w:left="1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80" w:type="dxa"/>
            <w:vAlign w:val="bottom"/>
            <w:tcBorders>
              <w:left w:val="single" w:sz="8" w:color="E7E7E2"/>
            </w:tcBorders>
            <w:shd w:val="clear" w:color="auto" w:fill="E7E7E2"/>
          </w:tcPr>
          <w:p>
            <w:pPr>
              <w:spacing w:after="0"/>
              <w:rPr>
                <w:sz w:val="15"/>
                <w:szCs w:val="15"/>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2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84"/>
              </w:rPr>
              <w:t>N/A</w:t>
            </w: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3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860" w:type="dxa"/>
            <w:vAlign w:val="bottom"/>
            <w:gridSpan w:val="3"/>
            <w:vMerge w:val="continue"/>
            <w:shd w:val="clear" w:color="auto" w:fill="E7E7E2"/>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1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left w:val="single" w:sz="8" w:color="E7E7E2"/>
            </w:tcBorders>
            <w:shd w:val="clear" w:color="auto" w:fill="E7E7E2"/>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vMerge w:val="continue"/>
            <w:shd w:val="clear" w:color="auto" w:fill="E7E7E2"/>
          </w:tcPr>
          <w:p>
            <w:pPr>
              <w:spacing w:after="0"/>
              <w:rPr>
                <w:sz w:val="11"/>
                <w:szCs w:val="11"/>
                <w:color w:val="auto"/>
              </w:rPr>
            </w:pPr>
          </w:p>
        </w:tc>
        <w:tc>
          <w:tcPr>
            <w:tcW w:w="6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3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40" w:type="dxa"/>
            <w:vAlign w:val="bottom"/>
            <w:tcBorders>
              <w:right w:val="single" w:sz="8" w:color="E7E7E2"/>
            </w:tcBorders>
          </w:tcPr>
          <w:p>
            <w:pPr>
              <w:spacing w:after="0"/>
              <w:rPr>
                <w:sz w:val="7"/>
                <w:szCs w:val="7"/>
                <w:color w:val="auto"/>
              </w:rPr>
            </w:pPr>
          </w:p>
        </w:tc>
        <w:tc>
          <w:tcPr>
            <w:tcW w:w="2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600" w:type="dxa"/>
            <w:vAlign w:val="bottom"/>
            <w:shd w:val="clear" w:color="auto" w:fill="E7E7E2"/>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E7E7E2"/>
          </w:tcPr>
          <w:p>
            <w:pPr>
              <w:spacing w:after="0"/>
              <w:rPr>
                <w:sz w:val="7"/>
                <w:szCs w:val="7"/>
                <w:color w:val="auto"/>
              </w:rPr>
            </w:pPr>
          </w:p>
        </w:tc>
        <w:tc>
          <w:tcPr>
            <w:tcW w:w="5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40" w:type="dxa"/>
            <w:vAlign w:val="bottom"/>
            <w:shd w:val="clear" w:color="auto" w:fill="E7E7E2"/>
          </w:tcPr>
          <w:p>
            <w:pPr>
              <w:spacing w:after="0"/>
              <w:rPr>
                <w:sz w:val="7"/>
                <w:szCs w:val="7"/>
                <w:color w:val="auto"/>
              </w:rPr>
            </w:pPr>
          </w:p>
        </w:tc>
        <w:tc>
          <w:tcPr>
            <w:tcW w:w="1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left w:val="single" w:sz="8" w:color="E7E7E2"/>
            </w:tcBorders>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8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5"/>
                <w:szCs w:val="15"/>
                <w:color w:val="auto"/>
              </w:rPr>
            </w:pPr>
          </w:p>
        </w:tc>
        <w:tc>
          <w:tcPr>
            <w:tcW w:w="8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ind w:left="18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ind w:left="1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80" w:type="dxa"/>
            <w:vAlign w:val="bottom"/>
            <w:tcBorders>
              <w:left w:val="single" w:sz="8" w:color="E7E7E2"/>
            </w:tcBorders>
            <w:shd w:val="clear" w:color="auto" w:fill="E7E7E2"/>
          </w:tcPr>
          <w:p>
            <w:pPr>
              <w:spacing w:after="0"/>
              <w:rPr>
                <w:sz w:val="15"/>
                <w:szCs w:val="15"/>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2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84"/>
              </w:rPr>
              <w:t>N/A</w:t>
            </w: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3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860" w:type="dxa"/>
            <w:vAlign w:val="bottom"/>
            <w:gridSpan w:val="3"/>
            <w:vMerge w:val="continue"/>
            <w:shd w:val="clear" w:color="auto" w:fill="E7E7E2"/>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1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left w:val="single" w:sz="8" w:color="E7E7E2"/>
            </w:tcBorders>
            <w:shd w:val="clear" w:color="auto" w:fill="E7E7E2"/>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vMerge w:val="continue"/>
            <w:shd w:val="clear" w:color="auto" w:fill="E7E7E2"/>
          </w:tcPr>
          <w:p>
            <w:pPr>
              <w:spacing w:after="0"/>
              <w:rPr>
                <w:sz w:val="11"/>
                <w:szCs w:val="11"/>
                <w:color w:val="auto"/>
              </w:rPr>
            </w:pPr>
          </w:p>
        </w:tc>
        <w:tc>
          <w:tcPr>
            <w:tcW w:w="6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3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40" w:type="dxa"/>
            <w:vAlign w:val="bottom"/>
            <w:tcBorders>
              <w:right w:val="single" w:sz="8" w:color="E7E7E2"/>
            </w:tcBorders>
          </w:tcPr>
          <w:p>
            <w:pPr>
              <w:spacing w:after="0"/>
              <w:rPr>
                <w:sz w:val="7"/>
                <w:szCs w:val="7"/>
                <w:color w:val="auto"/>
              </w:rPr>
            </w:pPr>
          </w:p>
        </w:tc>
        <w:tc>
          <w:tcPr>
            <w:tcW w:w="2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600" w:type="dxa"/>
            <w:vAlign w:val="bottom"/>
            <w:shd w:val="clear" w:color="auto" w:fill="E7E7E2"/>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E7E7E2"/>
          </w:tcPr>
          <w:p>
            <w:pPr>
              <w:spacing w:after="0"/>
              <w:rPr>
                <w:sz w:val="7"/>
                <w:szCs w:val="7"/>
                <w:color w:val="auto"/>
              </w:rPr>
            </w:pPr>
          </w:p>
        </w:tc>
        <w:tc>
          <w:tcPr>
            <w:tcW w:w="5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40" w:type="dxa"/>
            <w:vAlign w:val="bottom"/>
            <w:shd w:val="clear" w:color="auto" w:fill="E7E7E2"/>
          </w:tcPr>
          <w:p>
            <w:pPr>
              <w:spacing w:after="0"/>
              <w:rPr>
                <w:sz w:val="7"/>
                <w:szCs w:val="7"/>
                <w:color w:val="auto"/>
              </w:rPr>
            </w:pPr>
          </w:p>
        </w:tc>
        <w:tc>
          <w:tcPr>
            <w:tcW w:w="1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left w:val="single" w:sz="8" w:color="E7E7E2"/>
            </w:tcBorders>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8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26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w w:val="97"/>
              </w:rPr>
              <w:t>Table 3: Combined Prospectuses</w:t>
            </w: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840" w:type="dxa"/>
            <w:vAlign w:val="bottom"/>
            <w:gridSpan w:val="4"/>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w w:val="91"/>
              </w:rPr>
              <w:t>Amount of</w:t>
            </w:r>
          </w:p>
        </w:tc>
        <w:tc>
          <w:tcPr>
            <w:tcW w:w="38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6"/>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840" w:type="dxa"/>
            <w:vAlign w:val="bottom"/>
            <w:gridSpan w:val="4"/>
            <w:vMerge w:val="restart"/>
            <w:shd w:val="clear" w:color="auto" w:fill="9ADAF6"/>
          </w:tcPr>
          <w:p>
            <w:pPr>
              <w:ind w:left="40"/>
              <w:spacing w:after="0" w:line="188" w:lineRule="exact"/>
              <w:rPr>
                <w:sz w:val="20"/>
                <w:szCs w:val="20"/>
                <w:color w:val="auto"/>
              </w:rPr>
            </w:pPr>
            <w:r>
              <w:rPr>
                <w:rFonts w:ascii="Arial" w:cs="Arial" w:eastAsia="Arial" w:hAnsi="Arial"/>
                <w:sz w:val="17"/>
                <w:szCs w:val="17"/>
                <w:b w:val="1"/>
                <w:bCs w:val="1"/>
                <w:color w:val="auto"/>
                <w:w w:val="93"/>
              </w:rPr>
              <w:t>Securities</w:t>
            </w:r>
          </w:p>
        </w:tc>
        <w:tc>
          <w:tcPr>
            <w:tcW w:w="3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4"/>
            <w:vMerge w:val="restart"/>
            <w:shd w:val="clear" w:color="auto" w:fill="9ADAF6"/>
          </w:tcPr>
          <w:p>
            <w:pPr>
              <w:jc w:val="center"/>
              <w:ind w:right="217"/>
              <w:spacing w:after="0" w:line="188"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7"/>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Borders>
              <w:right w:val="single" w:sz="8" w:color="9ADAF6"/>
            </w:tcBorders>
            <w:gridSpan w:val="4"/>
            <w:vMerge w:val="restart"/>
            <w:shd w:val="clear" w:color="auto" w:fill="9ADAF6"/>
          </w:tcPr>
          <w:p>
            <w:pPr>
              <w:ind w:left="240"/>
              <w:spacing w:after="0" w:line="188" w:lineRule="exact"/>
              <w:rPr>
                <w:sz w:val="20"/>
                <w:szCs w:val="20"/>
                <w:color w:val="auto"/>
              </w:rPr>
            </w:pPr>
            <w:r>
              <w:rPr>
                <w:rFonts w:ascii="Arial" w:cs="Arial" w:eastAsia="Arial" w:hAnsi="Arial"/>
                <w:sz w:val="17"/>
                <w:szCs w:val="17"/>
                <w:b w:val="1"/>
                <w:bCs w:val="1"/>
                <w:color w:val="auto"/>
                <w:w w:val="93"/>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1580" w:type="dxa"/>
            <w:vAlign w:val="bottom"/>
            <w:gridSpan w:val="5"/>
            <w:vMerge w:val="restart"/>
            <w:shd w:val="clear" w:color="auto" w:fill="9ADAF6"/>
          </w:tcPr>
          <w:p>
            <w:pPr>
              <w:ind w:left="40"/>
              <w:spacing w:after="0" w:line="188" w:lineRule="exact"/>
              <w:rPr>
                <w:sz w:val="20"/>
                <w:szCs w:val="20"/>
                <w:color w:val="auto"/>
              </w:rPr>
            </w:pPr>
            <w:r>
              <w:rPr>
                <w:rFonts w:ascii="Arial" w:cs="Arial" w:eastAsia="Arial" w:hAnsi="Arial"/>
                <w:sz w:val="17"/>
                <w:szCs w:val="17"/>
                <w:b w:val="1"/>
                <w:bCs w:val="1"/>
                <w:color w:val="auto"/>
                <w:w w:val="96"/>
              </w:rPr>
              <w:t>Security Class Title</w:t>
            </w: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840" w:type="dxa"/>
            <w:vAlign w:val="bottom"/>
            <w:gridSpan w:val="4"/>
            <w:vMerge w:val="continue"/>
            <w:shd w:val="clear" w:color="auto" w:fill="9ADAF6"/>
          </w:tcPr>
          <w:p>
            <w:pPr>
              <w:spacing w:after="0"/>
              <w:rPr>
                <w:sz w:val="8"/>
                <w:szCs w:val="8"/>
                <w:color w:val="auto"/>
              </w:rPr>
            </w:pPr>
          </w:p>
        </w:tc>
        <w:tc>
          <w:tcPr>
            <w:tcW w:w="3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gridSpan w:val="3"/>
            <w:vMerge w:val="restart"/>
            <w:shd w:val="clear" w:color="auto" w:fill="9ADAF6"/>
          </w:tcPr>
          <w:p>
            <w:pPr>
              <w:ind w:left="80"/>
              <w:spacing w:after="0" w:line="188" w:lineRule="exact"/>
              <w:rPr>
                <w:sz w:val="20"/>
                <w:szCs w:val="20"/>
                <w:color w:val="auto"/>
              </w:rPr>
            </w:pPr>
            <w:r>
              <w:rPr>
                <w:rFonts w:ascii="Arial" w:cs="Arial" w:eastAsia="Arial" w:hAnsi="Arial"/>
                <w:sz w:val="17"/>
                <w:szCs w:val="17"/>
                <w:b w:val="1"/>
                <w:bCs w:val="1"/>
                <w:color w:val="auto"/>
                <w:w w:val="95"/>
              </w:rPr>
              <w:t>File Number</w:t>
            </w: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Borders>
              <w:right w:val="single" w:sz="8" w:color="9ADAF6"/>
            </w:tcBorders>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1580" w:type="dxa"/>
            <w:vAlign w:val="bottom"/>
            <w:gridSpan w:val="5"/>
            <w:vMerge w:val="continue"/>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840" w:type="dxa"/>
            <w:vAlign w:val="bottom"/>
            <w:gridSpan w:val="4"/>
            <w:vMerge w:val="restart"/>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w w:val="90"/>
              </w:rPr>
              <w:t>Previously</w:t>
            </w:r>
          </w:p>
        </w:tc>
        <w:tc>
          <w:tcPr>
            <w:tcW w:w="3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6"/>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7"/>
              <w:spacing w:after="0" w:line="18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0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840" w:type="dxa"/>
            <w:vAlign w:val="bottom"/>
            <w:gridSpan w:val="4"/>
            <w:vMerge w:val="continue"/>
            <w:shd w:val="clear" w:color="auto" w:fill="9ADAF6"/>
          </w:tcPr>
          <w:p>
            <w:pPr>
              <w:spacing w:after="0"/>
              <w:rPr>
                <w:sz w:val="8"/>
                <w:szCs w:val="8"/>
                <w:color w:val="auto"/>
              </w:rPr>
            </w:pPr>
          </w:p>
        </w:tc>
        <w:tc>
          <w:tcPr>
            <w:tcW w:w="3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6"/>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40" w:type="dxa"/>
            <w:vAlign w:val="bottom"/>
            <w:tcBorders>
              <w:right w:val="single" w:sz="8" w:color="9ADAF6"/>
            </w:tcBorders>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840" w:type="dxa"/>
            <w:vAlign w:val="bottom"/>
            <w:gridSpan w:val="4"/>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88"/>
              </w:rPr>
              <w:t>Registered</w:t>
            </w:r>
          </w:p>
        </w:tc>
        <w:tc>
          <w:tcPr>
            <w:tcW w:w="38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1460" w:type="dxa"/>
            <w:vAlign w:val="bottom"/>
            <w:gridSpan w:val="3"/>
            <w:vMerge w:val="restart"/>
            <w:shd w:val="clear" w:color="auto" w:fill="9ADAF6"/>
          </w:tcPr>
          <w:p>
            <w:pPr>
              <w:jc w:val="center"/>
              <w:ind w:right="497"/>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840" w:type="dxa"/>
            <w:vAlign w:val="bottom"/>
            <w:gridSpan w:val="4"/>
            <w:vMerge w:val="continue"/>
            <w:shd w:val="clear" w:color="auto" w:fill="9ADAF6"/>
          </w:tcPr>
          <w:p>
            <w:pPr>
              <w:spacing w:after="0"/>
              <w:rPr>
                <w:sz w:val="7"/>
                <w:szCs w:val="7"/>
                <w:color w:val="auto"/>
              </w:rPr>
            </w:pPr>
          </w:p>
        </w:tc>
        <w:tc>
          <w:tcPr>
            <w:tcW w:w="38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14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40" w:type="dxa"/>
            <w:vAlign w:val="bottom"/>
            <w:tcBorders>
              <w:right w:val="single" w:sz="8" w:color="E7E7E2"/>
            </w:tcBorders>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6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tcBorders>
              <w:left w:val="single" w:sz="8" w:color="E7E7E2"/>
            </w:tcBorders>
            <w:shd w:val="clear" w:color="auto" w:fill="E7E7E2"/>
          </w:tcPr>
          <w:p>
            <w:pPr>
              <w:ind w:left="10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580" w:type="dxa"/>
            <w:vAlign w:val="bottom"/>
            <w:gridSpan w:val="3"/>
            <w:shd w:val="clear" w:color="auto" w:fill="E7E7E2"/>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60" w:type="dxa"/>
            <w:vAlign w:val="bottom"/>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0" Type="http://schemas.openxmlformats.org/officeDocument/2006/relationships/hyperlink" Target="https://www.sec.gov/Archives/edgar/data/1626971/000119312524195009/d878166ds3.htm" TargetMode="External"/><Relationship Id="rId22" Type="http://schemas.openxmlformats.org/officeDocument/2006/relationships/hyperlink" Target="https://www.sec.gov/Archives/edgar/data/1626971/000119312524195009/d878166dex51.htm" TargetMode="External"/><Relationship Id="rId23" Type="http://schemas.openxmlformats.org/officeDocument/2006/relationships/hyperlink" Target="https://www.sec.gov/Archives/edgar/data/1626971/000119312524195009/d878166ds3.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2026-01-21T20:37:03Z</dcterms:created>
  <dcterms:modified xsi:type="dcterms:W3CDTF">2026-01-21T20:37:03Z</dcterms:modified>
</cp:coreProperties>
</file>